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114DE" w14:textId="77777777" w:rsidR="00E029D5" w:rsidRDefault="00E029D5" w:rsidP="00E029D5">
      <w:pPr>
        <w:shd w:val="clear" w:color="auto" w:fill="25A5CB"/>
        <w:tabs>
          <w:tab w:val="left" w:pos="800"/>
        </w:tabs>
        <w:autoSpaceDE/>
        <w:snapToGrid w:val="0"/>
        <w:spacing w:beforeLines="50" w:before="156" w:afterLines="50" w:after="156"/>
        <w:jc w:val="both"/>
        <w:rPr>
          <w:rFonts w:ascii="Times New Roman" w:hAnsi="宋体" w:cs="Times New Roman"/>
          <w:b/>
          <w:color w:val="FFFFFF"/>
          <w:sz w:val="24"/>
          <w:szCs w:val="24"/>
          <w:lang w:val="zh-CN"/>
        </w:rPr>
      </w:pPr>
      <w:r>
        <w:rPr>
          <w:rFonts w:ascii="Times New Roman" w:hAnsi="Times New Roman" w:cs="Times New Roman"/>
          <w:b/>
          <w:noProof/>
          <w:color w:val="FFFFFF"/>
          <w:sz w:val="24"/>
          <w:szCs w:val="24"/>
        </w:rPr>
        <w:t>CIGB 814</w:t>
      </w:r>
      <w:r>
        <w:rPr>
          <w:rFonts w:ascii="Times New Roman" w:hAnsi="Times New Roman" w:cs="Times New Roman" w:hint="eastAsia"/>
          <w:b/>
          <w:noProof/>
          <w:color w:val="FFFFFF"/>
          <w:sz w:val="24"/>
          <w:szCs w:val="24"/>
        </w:rPr>
        <w:t>：</w:t>
      </w:r>
      <w:r>
        <w:rPr>
          <w:rFonts w:ascii="Times New Roman" w:hAnsi="宋体" w:cs="Times New Roman" w:hint="eastAsia"/>
          <w:b/>
          <w:color w:val="FFFFFF"/>
          <w:sz w:val="24"/>
          <w:szCs w:val="24"/>
          <w:lang w:val="zh-CN"/>
        </w:rPr>
        <w:t>治疗自体免疫性疾病的肽</w:t>
      </w:r>
    </w:p>
    <w:p w14:paraId="598A48F0" w14:textId="77777777" w:rsidR="00E029D5" w:rsidRDefault="00E029D5" w:rsidP="00E029D5">
      <w:pPr>
        <w:shd w:val="clear" w:color="auto" w:fill="FFFFFF"/>
        <w:tabs>
          <w:tab w:val="left" w:pos="800"/>
        </w:tabs>
        <w:autoSpaceDE/>
        <w:snapToGrid w:val="0"/>
        <w:spacing w:beforeLines="50" w:before="156" w:afterLines="50" w:after="156"/>
        <w:jc w:val="both"/>
        <w:rPr>
          <w:rFonts w:ascii="Times New Roman" w:hAnsi="Times New Roman" w:cs="Times New Roman"/>
          <w:b/>
          <w:noProof/>
          <w:color w:val="0586C0"/>
          <w:sz w:val="24"/>
          <w:szCs w:val="24"/>
        </w:rPr>
      </w:pPr>
      <w:r>
        <w:rPr>
          <w:rFonts w:ascii="Times New Roman" w:hAnsi="Times New Roman" w:cs="Times New Roman" w:hint="eastAsia"/>
          <w:b/>
          <w:noProof/>
          <w:color w:val="0586C0"/>
          <w:sz w:val="24"/>
          <w:szCs w:val="24"/>
        </w:rPr>
        <w:t>基因工程与生物技术中心</w:t>
      </w:r>
    </w:p>
    <w:p w14:paraId="291CF32F" w14:textId="77777777" w:rsidR="00E029D5" w:rsidRDefault="00E029D5" w:rsidP="00E029D5">
      <w:pPr>
        <w:shd w:val="clear" w:color="auto" w:fill="FFFFFF"/>
        <w:tabs>
          <w:tab w:val="left" w:pos="800"/>
        </w:tabs>
        <w:autoSpaceDE/>
        <w:snapToGrid w:val="0"/>
        <w:spacing w:beforeLines="50" w:before="156" w:afterLines="50" w:after="156"/>
        <w:jc w:val="both"/>
        <w:rPr>
          <w:rFonts w:ascii="Times New Roman" w:hAnsi="Times New Roman" w:cs="Times New Roman"/>
          <w:sz w:val="24"/>
          <w:szCs w:val="24"/>
        </w:rPr>
      </w:pPr>
      <w:r>
        <w:rPr>
          <w:rFonts w:ascii="Times New Roman" w:hAnsi="宋体" w:cs="Times New Roman" w:hint="eastAsia"/>
          <w:b/>
          <w:color w:val="0586C0"/>
          <w:sz w:val="24"/>
          <w:szCs w:val="24"/>
          <w:lang w:val="zh-CN"/>
        </w:rPr>
        <w:t>治疗领域：自体免疫疾病</w:t>
      </w:r>
      <w:r>
        <w:rPr>
          <w:rFonts w:ascii="Times New Roman" w:hAnsi="Times New Roman" w:cs="Times New Roman"/>
          <w:b/>
          <w:color w:val="0586C0"/>
          <w:sz w:val="24"/>
          <w:szCs w:val="24"/>
          <w:lang w:val="zh-CN"/>
        </w:rPr>
        <w:br/>
      </w:r>
    </w:p>
    <w:tbl>
      <w:tblPr>
        <w:tblW w:w="5000" w:type="pct"/>
        <w:tblCellMar>
          <w:left w:w="40" w:type="dxa"/>
          <w:right w:w="40" w:type="dxa"/>
        </w:tblCellMar>
        <w:tblLook w:val="04A0" w:firstRow="1" w:lastRow="0" w:firstColumn="1" w:lastColumn="0" w:noHBand="0" w:noVBand="1"/>
      </w:tblPr>
      <w:tblGrid>
        <w:gridCol w:w="8300"/>
      </w:tblGrid>
      <w:tr w:rsidR="00E029D5" w14:paraId="5732FAE6" w14:textId="77777777" w:rsidTr="0097719D">
        <w:tc>
          <w:tcPr>
            <w:tcW w:w="5000" w:type="pct"/>
            <w:tcBorders>
              <w:top w:val="nil"/>
              <w:left w:val="nil"/>
              <w:bottom w:val="single" w:sz="12" w:space="0" w:color="24A0D9"/>
              <w:right w:val="nil"/>
            </w:tcBorders>
            <w:shd w:val="clear" w:color="auto" w:fill="FFFFFF"/>
            <w:hideMark/>
          </w:tcPr>
          <w:p w14:paraId="56AA1D4D" w14:textId="77777777" w:rsidR="00E029D5" w:rsidRDefault="00E029D5" w:rsidP="0097719D">
            <w:pPr>
              <w:shd w:val="clear" w:color="auto" w:fill="FFFFFF"/>
              <w:snapToGrid w:val="0"/>
              <w:spacing w:beforeLines="50" w:before="156" w:afterLines="50" w:after="156"/>
              <w:rPr>
                <w:rFonts w:ascii="Times New Roman" w:hAnsi="Times New Roman" w:cs="Times New Roman"/>
                <w:szCs w:val="24"/>
              </w:rPr>
            </w:pPr>
            <w:r>
              <w:rPr>
                <w:rFonts w:ascii="Times New Roman" w:hAnsi="宋体" w:cs="Times New Roman" w:hint="eastAsia"/>
                <w:color w:val="000000"/>
                <w:sz w:val="24"/>
                <w:szCs w:val="24"/>
                <w:lang w:val="zh-CN"/>
              </w:rPr>
              <w:t>目标</w:t>
            </w:r>
          </w:p>
        </w:tc>
      </w:tr>
      <w:tr w:rsidR="00E029D5" w14:paraId="2EA941C9" w14:textId="77777777" w:rsidTr="0097719D">
        <w:tc>
          <w:tcPr>
            <w:tcW w:w="5000" w:type="pct"/>
            <w:tcBorders>
              <w:top w:val="single" w:sz="12" w:space="0" w:color="24A0D9"/>
              <w:left w:val="nil"/>
              <w:bottom w:val="nil"/>
              <w:right w:val="nil"/>
            </w:tcBorders>
            <w:shd w:val="clear" w:color="auto" w:fill="FFFFFF"/>
            <w:hideMark/>
          </w:tcPr>
          <w:p w14:paraId="59D020EB" w14:textId="77777777" w:rsidR="00E029D5" w:rsidRDefault="00E029D5"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证明源于类风湿性关节炎发病机理中所涉及的自身抗原的肽型变构肽配体（</w:t>
            </w:r>
            <w:r>
              <w:rPr>
                <w:rFonts w:ascii="Times New Roman" w:hAnsi="Times New Roman" w:cs="Times New Roman"/>
                <w:noProof/>
                <w:color w:val="000000"/>
                <w:sz w:val="24"/>
                <w:szCs w:val="24"/>
              </w:rPr>
              <w:t>APL</w:t>
            </w:r>
            <w:r>
              <w:rPr>
                <w:rFonts w:ascii="Times New Roman" w:hAnsi="Times New Roman" w:cs="Times New Roman" w:hint="eastAsia"/>
                <w:noProof/>
                <w:color w:val="000000"/>
                <w:sz w:val="24"/>
                <w:szCs w:val="24"/>
              </w:rPr>
              <w:t>）在治疗此类疾病和其他自体免疫性病理的应用前景。</w:t>
            </w:r>
          </w:p>
          <w:p w14:paraId="208BCFA2"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商业建议：联合进行临床研究，以注册并进行商业开发。联合进行临床研究，以对其治疗</w:t>
            </w:r>
            <w:r>
              <w:rPr>
                <w:rFonts w:ascii="Times New Roman" w:hAnsi="Times New Roman" w:cs="Times New Roman"/>
                <w:noProof/>
                <w:color w:val="000000"/>
                <w:sz w:val="24"/>
                <w:szCs w:val="24"/>
              </w:rPr>
              <w:t>I</w:t>
            </w:r>
            <w:r>
              <w:rPr>
                <w:rFonts w:ascii="Times New Roman" w:hAnsi="Times New Roman" w:cs="Times New Roman" w:hint="eastAsia"/>
                <w:noProof/>
                <w:color w:val="000000"/>
                <w:sz w:val="24"/>
                <w:szCs w:val="24"/>
              </w:rPr>
              <w:t>型糖尿病和青少年先天关节炎的概念进行验证。</w:t>
            </w:r>
          </w:p>
        </w:tc>
      </w:tr>
      <w:tr w:rsidR="00E029D5" w14:paraId="6DE313FA" w14:textId="77777777" w:rsidTr="0097719D">
        <w:tc>
          <w:tcPr>
            <w:tcW w:w="5000" w:type="pct"/>
            <w:tcBorders>
              <w:top w:val="nil"/>
              <w:left w:val="nil"/>
              <w:bottom w:val="single" w:sz="12" w:space="0" w:color="24A0D9"/>
              <w:right w:val="nil"/>
            </w:tcBorders>
            <w:shd w:val="clear" w:color="auto" w:fill="FFFFFF"/>
            <w:hideMark/>
          </w:tcPr>
          <w:p w14:paraId="2E4D7DE2" w14:textId="77777777" w:rsidR="00E029D5" w:rsidRDefault="00E029D5" w:rsidP="0097719D">
            <w:pPr>
              <w:shd w:val="clear" w:color="auto" w:fill="FFFFFF"/>
              <w:snapToGrid w:val="0"/>
              <w:spacing w:beforeLines="50" w:before="156" w:afterLines="50" w:after="156"/>
              <w:rPr>
                <w:rFonts w:ascii="Times New Roman" w:hAnsi="Times New Roman" w:cs="Times New Roman"/>
                <w:szCs w:val="24"/>
              </w:rPr>
            </w:pPr>
            <w:r>
              <w:rPr>
                <w:rFonts w:ascii="Times New Roman" w:hAnsi="宋体" w:cs="Times New Roman" w:hint="eastAsia"/>
                <w:color w:val="000000"/>
                <w:sz w:val="24"/>
                <w:szCs w:val="24"/>
                <w:lang w:val="zh-CN"/>
              </w:rPr>
              <w:t>说明</w:t>
            </w:r>
          </w:p>
        </w:tc>
      </w:tr>
      <w:tr w:rsidR="00E029D5" w14:paraId="3DCAEBCA" w14:textId="77777777" w:rsidTr="0097719D">
        <w:tc>
          <w:tcPr>
            <w:tcW w:w="5000" w:type="pct"/>
            <w:tcBorders>
              <w:top w:val="single" w:sz="12" w:space="0" w:color="24A0D9"/>
              <w:left w:val="nil"/>
              <w:bottom w:val="nil"/>
              <w:right w:val="nil"/>
            </w:tcBorders>
            <w:shd w:val="clear" w:color="auto" w:fill="FFFFFF"/>
          </w:tcPr>
          <w:p w14:paraId="3B824599" w14:textId="77777777" w:rsidR="00E029D5" w:rsidRDefault="00E029D5"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noProof/>
                <w:color w:val="000000"/>
                <w:sz w:val="24"/>
                <w:szCs w:val="24"/>
              </w:rPr>
              <w:t>CIGB</w:t>
            </w:r>
            <w:r>
              <w:rPr>
                <w:rFonts w:ascii="Times New Roman" w:hAnsi="Times New Roman" w:cs="Times New Roman" w:hint="eastAsia"/>
                <w:noProof/>
                <w:color w:val="000000"/>
                <w:sz w:val="24"/>
                <w:szCs w:val="24"/>
              </w:rPr>
              <w:t>已研制出源自类风湿性关节炎发病机理中所涉及的一种主要自身抗原的修饰型肽配基，即</w:t>
            </w:r>
            <w:r>
              <w:rPr>
                <w:rFonts w:ascii="Times New Roman" w:hAnsi="Times New Roman" w:cs="Times New Roman"/>
                <w:noProof/>
                <w:color w:val="000000"/>
                <w:sz w:val="24"/>
                <w:szCs w:val="24"/>
              </w:rPr>
              <w:t>60 kDa</w:t>
            </w:r>
            <w:r>
              <w:rPr>
                <w:rFonts w:ascii="Times New Roman" w:hAnsi="Times New Roman" w:cs="Times New Roman" w:hint="eastAsia"/>
                <w:noProof/>
                <w:color w:val="000000"/>
                <w:sz w:val="24"/>
                <w:szCs w:val="24"/>
              </w:rPr>
              <w:t>人体热休克蛋白（</w:t>
            </w:r>
            <w:r>
              <w:rPr>
                <w:rFonts w:ascii="Times New Roman" w:hAnsi="Times New Roman" w:cs="Times New Roman"/>
                <w:noProof/>
                <w:color w:val="000000"/>
                <w:sz w:val="24"/>
                <w:szCs w:val="24"/>
              </w:rPr>
              <w:t>Hsp60</w:t>
            </w:r>
            <w:r>
              <w:rPr>
                <w:rFonts w:ascii="Times New Roman" w:hAnsi="Times New Roman" w:cs="Times New Roman" w:hint="eastAsia"/>
                <w:noProof/>
                <w:color w:val="000000"/>
                <w:sz w:val="24"/>
                <w:szCs w:val="24"/>
              </w:rPr>
              <w:t>）。修饰型肽配基与其原始表位相似，但与</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细胞抗原受体或人类白细胞抗原二级分子的接触位置上有一个或多个替换表位，影响必要的级联以激活</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细胞。通过对自身免疫疾病控制的不同原理，这些肽可阻止</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细胞自体反应。利用生物信息学工具设计并通过化学分析来获得这种肽。从</w:t>
            </w:r>
            <w:r>
              <w:rPr>
                <w:rFonts w:ascii="Times New Roman" w:hAnsi="Times New Roman" w:cs="Times New Roman"/>
                <w:noProof/>
                <w:color w:val="000000"/>
                <w:sz w:val="24"/>
                <w:szCs w:val="24"/>
              </w:rPr>
              <w:t>Hsp60</w:t>
            </w:r>
            <w:r>
              <w:rPr>
                <w:rFonts w:ascii="Times New Roman" w:hAnsi="Times New Roman" w:cs="Times New Roman" w:hint="eastAsia"/>
                <w:noProof/>
                <w:color w:val="000000"/>
                <w:sz w:val="24"/>
                <w:szCs w:val="24"/>
              </w:rPr>
              <w:t>序列开始，将新的区域确定为</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细胞表位，对其进行修饰以增加</w:t>
            </w:r>
            <w:r>
              <w:rPr>
                <w:rFonts w:ascii="Times New Roman" w:hAnsi="Times New Roman" w:cs="Times New Roman"/>
                <w:noProof/>
                <w:color w:val="000000"/>
                <w:sz w:val="24"/>
                <w:szCs w:val="24"/>
              </w:rPr>
              <w:t>HLA-II</w:t>
            </w:r>
            <w:r>
              <w:rPr>
                <w:rFonts w:ascii="Times New Roman" w:hAnsi="Times New Roman" w:cs="Times New Roman" w:hint="eastAsia"/>
                <w:noProof/>
                <w:color w:val="000000"/>
                <w:sz w:val="24"/>
                <w:szCs w:val="24"/>
              </w:rPr>
              <w:t>二级分子的亲和性。</w:t>
            </w:r>
          </w:p>
          <w:p w14:paraId="0FB4C817" w14:textId="77777777" w:rsidR="00E029D5" w:rsidRDefault="00E029D5"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通过两种动物模型对</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的潜在疗效进行研究：佐剂诱导关节炎（</w:t>
            </w:r>
            <w:r>
              <w:rPr>
                <w:rFonts w:ascii="Times New Roman" w:hAnsi="Times New Roman" w:cs="Times New Roman"/>
                <w:noProof/>
                <w:color w:val="000000"/>
                <w:sz w:val="24"/>
                <w:szCs w:val="24"/>
              </w:rPr>
              <w:t>AA</w:t>
            </w:r>
            <w:r>
              <w:rPr>
                <w:rFonts w:ascii="Times New Roman" w:hAnsi="Times New Roman" w:cs="Times New Roman" w:hint="eastAsia"/>
                <w:noProof/>
                <w:color w:val="000000"/>
                <w:sz w:val="24"/>
                <w:szCs w:val="24"/>
              </w:rPr>
              <w:t>）的</w:t>
            </w:r>
            <w:r>
              <w:rPr>
                <w:rFonts w:ascii="Times New Roman" w:hAnsi="Times New Roman" w:cs="Times New Roman"/>
                <w:noProof/>
                <w:color w:val="000000"/>
                <w:sz w:val="24"/>
                <w:szCs w:val="24"/>
              </w:rPr>
              <w:t>Lewis</w:t>
            </w:r>
            <w:r>
              <w:rPr>
                <w:rFonts w:ascii="Times New Roman" w:hAnsi="Times New Roman" w:cs="Times New Roman" w:hint="eastAsia"/>
                <w:noProof/>
                <w:color w:val="000000"/>
                <w:sz w:val="24"/>
                <w:szCs w:val="24"/>
              </w:rPr>
              <w:t>大鼠和胶原诱导关节炎的</w:t>
            </w:r>
            <w:r>
              <w:rPr>
                <w:rFonts w:ascii="Times New Roman" w:hAnsi="Times New Roman" w:cs="Times New Roman"/>
                <w:noProof/>
                <w:color w:val="000000"/>
                <w:sz w:val="24"/>
                <w:szCs w:val="24"/>
              </w:rPr>
              <w:t>DBA</w:t>
            </w:r>
            <w:r>
              <w:rPr>
                <w:rFonts w:ascii="Times New Roman" w:hAnsi="Times New Roman" w:cs="Times New Roman" w:hint="eastAsia"/>
                <w:noProof/>
                <w:color w:val="000000"/>
                <w:sz w:val="24"/>
                <w:szCs w:val="24"/>
              </w:rPr>
              <w:t>／</w:t>
            </w: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小鼠。两种动物模型的临床及组织病理学分析表明，</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可有效抑制类风湿性关节炎（图</w:t>
            </w: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）。采用类风湿性关节炎患者的外周血单个核细胞和滑膜细胞，及从克隆氏症患者和先天性关节炎患者中分离出的外周血单个核细胞进行体外实验检测，结果证明，</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可诱导</w:t>
            </w:r>
            <w:r>
              <w:rPr>
                <w:rFonts w:ascii="Times New Roman" w:hAnsi="Times New Roman" w:cs="Times New Roman"/>
                <w:noProof/>
                <w:color w:val="000000"/>
                <w:sz w:val="24"/>
                <w:szCs w:val="24"/>
              </w:rPr>
              <w:t>CD4+ CD25+ Foxp3+</w:t>
            </w:r>
            <w:r>
              <w:rPr>
                <w:rFonts w:ascii="Times New Roman" w:hAnsi="Times New Roman" w:cs="Times New Roman" w:hint="eastAsia"/>
                <w:noProof/>
                <w:color w:val="000000"/>
                <w:sz w:val="24"/>
                <w:szCs w:val="24"/>
              </w:rPr>
              <w:t>调节性</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细胞大幅增加。此外，在小鼠身上，该肽可增加引流淋巴结中调节性</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细胞的比例（图</w:t>
            </w:r>
            <w:r>
              <w:rPr>
                <w:rFonts w:ascii="Times New Roman" w:hAnsi="Times New Roman" w:cs="Times New Roman"/>
                <w:noProof/>
                <w:color w:val="000000"/>
                <w:sz w:val="24"/>
                <w:szCs w:val="24"/>
              </w:rPr>
              <w:t>2</w:t>
            </w:r>
            <w:r>
              <w:rPr>
                <w:rFonts w:ascii="Times New Roman" w:hAnsi="Times New Roman" w:cs="Times New Roman" w:hint="eastAsia"/>
                <w:noProof/>
                <w:color w:val="000000"/>
                <w:sz w:val="24"/>
                <w:szCs w:val="24"/>
              </w:rPr>
              <w:t>）。通过大鼠模型进行</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毒理学评价，结果是令人满意的。</w:t>
            </w:r>
          </w:p>
          <w:p w14:paraId="256CD51A" w14:textId="77777777" w:rsidR="00E029D5" w:rsidRDefault="00E029D5"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14:anchorId="087EAA24" wp14:editId="7E51EB2F">
                  <wp:extent cx="2546350" cy="1479550"/>
                  <wp:effectExtent l="0" t="0" r="635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6350" cy="1479550"/>
                          </a:xfrm>
                          <a:prstGeom prst="rect">
                            <a:avLst/>
                          </a:prstGeom>
                          <a:noFill/>
                          <a:ln>
                            <a:noFill/>
                          </a:ln>
                        </pic:spPr>
                      </pic:pic>
                    </a:graphicData>
                  </a:graphic>
                </wp:inline>
              </w:drawing>
            </w:r>
          </w:p>
          <w:p w14:paraId="5B380981" w14:textId="77777777" w:rsidR="00E029D5" w:rsidRDefault="00E029D5"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 xml:space="preserve">1 </w:t>
            </w:r>
            <w:r>
              <w:rPr>
                <w:rFonts w:ascii="Times New Roman" w:hAnsi="Times New Roman" w:cs="Times New Roman" w:hint="eastAsia"/>
                <w:noProof/>
                <w:color w:val="000000"/>
                <w:sz w:val="24"/>
                <w:szCs w:val="24"/>
              </w:rPr>
              <w:t>大鼠接受</w:t>
            </w:r>
            <w:r>
              <w:rPr>
                <w:rFonts w:ascii="Times New Roman" w:hAnsi="Times New Roman" w:cs="Times New Roman"/>
                <w:noProof/>
                <w:color w:val="000000"/>
                <w:sz w:val="24"/>
                <w:szCs w:val="24"/>
              </w:rPr>
              <w:t>apl-1</w:t>
            </w:r>
            <w:r>
              <w:rPr>
                <w:rFonts w:ascii="Times New Roman" w:hAnsi="Times New Roman" w:cs="Times New Roman" w:hint="eastAsia"/>
                <w:noProof/>
                <w:color w:val="000000"/>
                <w:sz w:val="24"/>
                <w:szCs w:val="24"/>
              </w:rPr>
              <w:t>给药治疗，佐剂诱导关节炎显著降低。在不完全的弗氏佐剂中，接种</w:t>
            </w:r>
            <w:r>
              <w:rPr>
                <w:rFonts w:ascii="Times New Roman" w:hAnsi="Times New Roman" w:cs="Times New Roman"/>
                <w:noProof/>
                <w:color w:val="000000"/>
                <w:sz w:val="24"/>
                <w:szCs w:val="24"/>
              </w:rPr>
              <w:t>MT</w:t>
            </w:r>
            <w:r>
              <w:rPr>
                <w:rFonts w:ascii="Times New Roman" w:hAnsi="Times New Roman" w:cs="Times New Roman" w:hint="eastAsia"/>
                <w:noProof/>
                <w:color w:val="000000"/>
                <w:sz w:val="24"/>
                <w:szCs w:val="24"/>
              </w:rPr>
              <w:t>后在</w:t>
            </w:r>
            <w:r>
              <w:rPr>
                <w:rFonts w:ascii="Times New Roman" w:hAnsi="Times New Roman" w:cs="Times New Roman"/>
                <w:noProof/>
                <w:color w:val="000000"/>
                <w:sz w:val="24"/>
                <w:szCs w:val="24"/>
              </w:rPr>
              <w:t>0</w:t>
            </w:r>
            <w:r>
              <w:rPr>
                <w:rFonts w:ascii="Times New Roman" w:hAnsi="Times New Roman" w:cs="Times New Roman" w:hint="eastAsia"/>
                <w:noProof/>
                <w:color w:val="000000"/>
                <w:sz w:val="24"/>
                <w:szCs w:val="24"/>
              </w:rPr>
              <w:t>天诱导产生了关节炎。在第</w:t>
            </w:r>
            <w:r>
              <w:rPr>
                <w:rFonts w:ascii="Times New Roman" w:hAnsi="Times New Roman" w:cs="Times New Roman"/>
                <w:noProof/>
                <w:color w:val="000000"/>
                <w:sz w:val="24"/>
                <w:szCs w:val="24"/>
              </w:rPr>
              <w:t>10</w:t>
            </w:r>
            <w:r>
              <w:rPr>
                <w:rFonts w:ascii="Times New Roman" w:hAnsi="Times New Roman" w:cs="Times New Roman" w:hint="eastAsia"/>
                <w:noProof/>
                <w:color w:val="000000"/>
                <w:sz w:val="24"/>
                <w:szCs w:val="24"/>
              </w:rPr>
              <w:t>天，将大鼠随机分为五组：第一组：皮内给药，对大鼠接种原株肽，第二组：大鼠经皮内给药，接受</w:t>
            </w:r>
            <w:r>
              <w:rPr>
                <w:rFonts w:ascii="Times New Roman" w:hAnsi="Times New Roman" w:cs="Times New Roman"/>
                <w:noProof/>
                <w:color w:val="000000"/>
                <w:sz w:val="24"/>
                <w:szCs w:val="24"/>
              </w:rPr>
              <w:t xml:space="preserve">apl-1 </w:t>
            </w:r>
            <w:r>
              <w:rPr>
                <w:rFonts w:ascii="Times New Roman" w:hAnsi="Times New Roman" w:cs="Times New Roman" w:hint="eastAsia"/>
                <w:noProof/>
                <w:color w:val="000000"/>
                <w:sz w:val="24"/>
                <w:szCs w:val="24"/>
              </w:rPr>
              <w:t>给药，第三组：大鼠皮下给药，接种</w:t>
            </w:r>
            <w:r>
              <w:rPr>
                <w:rFonts w:ascii="Times New Roman" w:hAnsi="Times New Roman" w:cs="Times New Roman"/>
                <w:noProof/>
                <w:color w:val="000000"/>
                <w:sz w:val="24"/>
                <w:szCs w:val="24"/>
              </w:rPr>
              <w:t>apl-1</w:t>
            </w:r>
            <w:r>
              <w:rPr>
                <w:rFonts w:ascii="Times New Roman" w:hAnsi="Times New Roman" w:cs="Times New Roman" w:hint="eastAsia"/>
                <w:noProof/>
                <w:color w:val="000000"/>
                <w:sz w:val="24"/>
                <w:szCs w:val="24"/>
              </w:rPr>
              <w:t>，</w:t>
            </w:r>
            <w:r>
              <w:rPr>
                <w:rFonts w:ascii="Times New Roman" w:hAnsi="Times New Roman" w:cs="Times New Roman"/>
                <w:noProof/>
                <w:color w:val="000000"/>
                <w:sz w:val="24"/>
                <w:szCs w:val="24"/>
              </w:rPr>
              <w:t xml:space="preserve"> </w:t>
            </w:r>
            <w:r>
              <w:rPr>
                <w:rFonts w:ascii="Times New Roman" w:hAnsi="Times New Roman" w:cs="Times New Roman" w:hint="eastAsia"/>
                <w:noProof/>
                <w:color w:val="000000"/>
                <w:sz w:val="24"/>
                <w:szCs w:val="24"/>
              </w:rPr>
              <w:t>第四组：未经处理的大鼠。第五组：健康大鼠。从</w:t>
            </w:r>
            <w:r>
              <w:rPr>
                <w:rFonts w:ascii="Times New Roman" w:hAnsi="Times New Roman" w:cs="Times New Roman"/>
                <w:noProof/>
                <w:color w:val="000000"/>
                <w:sz w:val="24"/>
                <w:szCs w:val="24"/>
              </w:rPr>
              <w:t>5</w:t>
            </w:r>
            <w:r>
              <w:rPr>
                <w:rFonts w:ascii="Times New Roman" w:hAnsi="Times New Roman" w:cs="Times New Roman" w:hint="eastAsia"/>
                <w:noProof/>
                <w:color w:val="000000"/>
                <w:sz w:val="24"/>
                <w:szCs w:val="24"/>
              </w:rPr>
              <w:t>天起，每隔一天对关节炎评分进行了评估。每组</w:t>
            </w:r>
            <w:r>
              <w:rPr>
                <w:rFonts w:ascii="Times New Roman" w:hAnsi="Times New Roman" w:cs="Times New Roman"/>
                <w:noProof/>
                <w:color w:val="000000"/>
                <w:sz w:val="24"/>
                <w:szCs w:val="24"/>
              </w:rPr>
              <w:t>12</w:t>
            </w:r>
            <w:r>
              <w:rPr>
                <w:rFonts w:ascii="Times New Roman" w:hAnsi="Times New Roman" w:cs="Times New Roman" w:hint="eastAsia"/>
                <w:noProof/>
                <w:color w:val="000000"/>
                <w:sz w:val="24"/>
                <w:szCs w:val="24"/>
              </w:rPr>
              <w:t>只大</w:t>
            </w:r>
            <w:r>
              <w:rPr>
                <w:rFonts w:ascii="Times New Roman" w:hAnsi="Times New Roman" w:cs="Times New Roman" w:hint="eastAsia"/>
                <w:noProof/>
                <w:color w:val="000000"/>
                <w:sz w:val="24"/>
                <w:szCs w:val="24"/>
              </w:rPr>
              <w:lastRenderedPageBreak/>
              <w:t>鼠。</w:t>
            </w:r>
            <w:r>
              <w:rPr>
                <w:rFonts w:ascii="Times New Roman" w:hAnsi="Times New Roman" w:cs="Times New Roman"/>
                <w:noProof/>
                <w:color w:val="000000"/>
                <w:sz w:val="24"/>
                <w:szCs w:val="24"/>
              </w:rPr>
              <w:t xml:space="preserve"> </w:t>
            </w:r>
          </w:p>
          <w:p w14:paraId="0FD18982" w14:textId="77777777" w:rsidR="00E029D5" w:rsidRDefault="00E029D5" w:rsidP="0097719D">
            <w:pPr>
              <w:shd w:val="clear" w:color="auto" w:fill="FFFFFF"/>
              <w:snapToGrid w:val="0"/>
              <w:spacing w:beforeLines="50" w:before="156" w:afterLines="50" w:after="156"/>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14:anchorId="27B86E8D" wp14:editId="6975D017">
                  <wp:extent cx="6127750" cy="3067050"/>
                  <wp:effectExtent l="0" t="0" r="635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7750" cy="3067050"/>
                          </a:xfrm>
                          <a:prstGeom prst="rect">
                            <a:avLst/>
                          </a:prstGeom>
                          <a:noFill/>
                          <a:ln>
                            <a:noFill/>
                          </a:ln>
                        </pic:spPr>
                      </pic:pic>
                    </a:graphicData>
                  </a:graphic>
                </wp:inline>
              </w:drawing>
            </w:r>
          </w:p>
          <w:p w14:paraId="74950C6D"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 xml:space="preserve">2 </w:t>
            </w:r>
            <w:r>
              <w:rPr>
                <w:rFonts w:ascii="Times New Roman" w:hAnsi="Times New Roman" w:cs="Times New Roman" w:hint="eastAsia"/>
                <w:noProof/>
                <w:color w:val="000000"/>
                <w:sz w:val="24"/>
                <w:szCs w:val="24"/>
              </w:rPr>
              <w:t>接受</w:t>
            </w:r>
            <w:r>
              <w:rPr>
                <w:rFonts w:ascii="Times New Roman" w:hAnsi="Times New Roman" w:cs="Times New Roman"/>
                <w:noProof/>
                <w:color w:val="000000"/>
                <w:sz w:val="24"/>
                <w:szCs w:val="24"/>
              </w:rPr>
              <w:t>apl-1</w:t>
            </w:r>
            <w:r>
              <w:rPr>
                <w:rFonts w:ascii="Times New Roman" w:hAnsi="Times New Roman" w:cs="Times New Roman" w:hint="eastAsia"/>
                <w:noProof/>
                <w:color w:val="000000"/>
                <w:sz w:val="24"/>
                <w:szCs w:val="24"/>
              </w:rPr>
              <w:t>治疗的小鼠，诱导小鼠</w:t>
            </w:r>
            <w:r>
              <w:rPr>
                <w:rFonts w:ascii="Times New Roman" w:hAnsi="Times New Roman" w:cs="Times New Roman"/>
                <w:noProof/>
                <w:color w:val="000000"/>
                <w:sz w:val="24"/>
                <w:szCs w:val="24"/>
              </w:rPr>
              <w:t>CD4+ Foxp3+ Treg</w:t>
            </w:r>
            <w:r>
              <w:rPr>
                <w:rFonts w:ascii="Times New Roman" w:hAnsi="Times New Roman" w:cs="Times New Roman" w:hint="eastAsia"/>
                <w:noProof/>
                <w:color w:val="000000"/>
                <w:sz w:val="24"/>
                <w:szCs w:val="24"/>
              </w:rPr>
              <w:t>细胞比例增加。皮下接种原株肽或</w:t>
            </w:r>
            <w:r>
              <w:rPr>
                <w:rFonts w:ascii="Times New Roman" w:hAnsi="Times New Roman" w:cs="Times New Roman"/>
                <w:noProof/>
                <w:color w:val="000000"/>
                <w:sz w:val="24"/>
                <w:szCs w:val="24"/>
              </w:rPr>
              <w:t>APL1</w:t>
            </w:r>
            <w:r>
              <w:rPr>
                <w:rFonts w:ascii="Times New Roman" w:hAnsi="Times New Roman" w:cs="Times New Roman" w:hint="eastAsia"/>
                <w:noProof/>
                <w:color w:val="000000"/>
                <w:sz w:val="24"/>
                <w:szCs w:val="24"/>
              </w:rPr>
              <w:t>后，每组有四只动物在第</w:t>
            </w:r>
            <w:r>
              <w:rPr>
                <w:rFonts w:ascii="Times New Roman" w:hAnsi="Times New Roman" w:cs="Times New Roman"/>
                <w:noProof/>
                <w:color w:val="000000"/>
                <w:sz w:val="24"/>
                <w:szCs w:val="24"/>
              </w:rPr>
              <w:t>4</w:t>
            </w:r>
            <w:r>
              <w:rPr>
                <w:rFonts w:ascii="Times New Roman" w:hAnsi="Times New Roman" w:cs="Times New Roman" w:hint="eastAsia"/>
                <w:noProof/>
                <w:color w:val="000000"/>
                <w:sz w:val="24"/>
                <w:szCs w:val="24"/>
              </w:rPr>
              <w:t>天和第</w:t>
            </w:r>
            <w:r>
              <w:rPr>
                <w:rFonts w:ascii="Times New Roman" w:hAnsi="Times New Roman" w:cs="Times New Roman"/>
                <w:noProof/>
                <w:color w:val="000000"/>
                <w:sz w:val="24"/>
                <w:szCs w:val="24"/>
              </w:rPr>
              <w:t>9</w:t>
            </w:r>
            <w:r>
              <w:rPr>
                <w:rFonts w:ascii="Times New Roman" w:hAnsi="Times New Roman" w:cs="Times New Roman" w:hint="eastAsia"/>
                <w:noProof/>
                <w:color w:val="000000"/>
                <w:sz w:val="24"/>
                <w:szCs w:val="24"/>
              </w:rPr>
              <w:t>天死亡。通过流式细胞分析法对引流淋巴结、非引流淋巴结和脏脾中的调节性</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细胞比例（</w:t>
            </w:r>
            <w:r>
              <w:rPr>
                <w:rFonts w:ascii="Times New Roman" w:hAnsi="Times New Roman" w:cs="Times New Roman"/>
                <w:noProof/>
                <w:color w:val="000000"/>
                <w:sz w:val="24"/>
                <w:szCs w:val="24"/>
              </w:rPr>
              <w:t>DLN</w:t>
            </w:r>
            <w:r>
              <w:rPr>
                <w:rFonts w:ascii="Times New Roman" w:hAnsi="Times New Roman" w:cs="Times New Roman" w:hint="eastAsia"/>
                <w:noProof/>
                <w:color w:val="000000"/>
                <w:sz w:val="24"/>
                <w:szCs w:val="24"/>
              </w:rPr>
              <w:t>）进行评估。（</w:t>
            </w: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）平均统计学显着性差异</w:t>
            </w:r>
            <w:r>
              <w:rPr>
                <w:rFonts w:ascii="Times New Roman" w:hAnsi="Times New Roman" w:cs="Times New Roman"/>
                <w:noProof/>
                <w:color w:val="000000"/>
                <w:sz w:val="24"/>
                <w:szCs w:val="24"/>
              </w:rPr>
              <w:t>P</w:t>
            </w:r>
            <w:r>
              <w:rPr>
                <w:rFonts w:ascii="Times New Roman" w:hAnsi="Times New Roman" w:cs="Times New Roman" w:hint="eastAsia"/>
                <w:noProof/>
                <w:color w:val="000000"/>
                <w:sz w:val="24"/>
                <w:szCs w:val="24"/>
              </w:rPr>
              <w:t>＜</w:t>
            </w:r>
            <w:r>
              <w:rPr>
                <w:rFonts w:ascii="Times New Roman" w:hAnsi="Times New Roman" w:cs="Times New Roman"/>
                <w:noProof/>
                <w:color w:val="000000"/>
                <w:sz w:val="24"/>
                <w:szCs w:val="24"/>
              </w:rPr>
              <w:t>0.05</w:t>
            </w:r>
          </w:p>
          <w:p w14:paraId="150AA763" w14:textId="77777777" w:rsidR="00E029D5" w:rsidRDefault="00E029D5" w:rsidP="0097719D">
            <w:pPr>
              <w:rPr>
                <w:rFonts w:ascii="Times New Roman" w:hAnsi="Times New Roman" w:cs="Times New Roman"/>
                <w:noProof/>
                <w:color w:val="000000"/>
                <w:sz w:val="24"/>
                <w:szCs w:val="24"/>
              </w:rPr>
            </w:pPr>
          </w:p>
          <w:p w14:paraId="54C4491F"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我们的研究结果表明，对</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所进行的修饰可诱导调节性</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细胞，并可加强此肽针对关节炎的疗效。因为调节性</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细胞能够通过抑制机制降低炎症反应。</w:t>
            </w:r>
          </w:p>
          <w:p w14:paraId="09360108" w14:textId="77777777" w:rsidR="00E029D5" w:rsidRDefault="00E029D5" w:rsidP="0097719D">
            <w:pPr>
              <w:rPr>
                <w:rFonts w:ascii="Times New Roman" w:hAnsi="Times New Roman" w:cs="Times New Roman"/>
                <w:noProof/>
                <w:color w:val="000000"/>
                <w:sz w:val="24"/>
                <w:szCs w:val="24"/>
              </w:rPr>
            </w:pPr>
          </w:p>
          <w:p w14:paraId="77D2506B"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这些研究结果是基于</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的以下特性：在两种动物模型中可有效抑制关节炎病程</w:t>
            </w:r>
            <w:r>
              <w:rPr>
                <w:rFonts w:ascii="Times New Roman" w:hAnsi="Times New Roman" w:cs="Times New Roman"/>
                <w:noProof/>
                <w:color w:val="000000"/>
                <w:sz w:val="24"/>
                <w:szCs w:val="24"/>
              </w:rPr>
              <w:t xml:space="preserve"> -</w:t>
            </w:r>
            <w:r>
              <w:rPr>
                <w:rFonts w:ascii="Times New Roman" w:hAnsi="Times New Roman" w:cs="Times New Roman" w:hint="eastAsia"/>
                <w:noProof/>
                <w:color w:val="000000"/>
                <w:sz w:val="24"/>
                <w:szCs w:val="24"/>
              </w:rPr>
              <w:t>这种肽能诱导由调节性</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细胞调节的免疫耐受。这些结果表明</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治疗关节炎等自身免疫性疾病的潜力。目前，类风湿性关节炎患者已完成第一期临床试验。在这项研究中</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的安全性得到了证明。我们有初步临床疗效的证据。</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可降低病人血清中的</w:t>
            </w:r>
            <w:r>
              <w:rPr>
                <w:rFonts w:ascii="Times New Roman" w:hAnsi="Times New Roman" w:cs="Times New Roman"/>
                <w:noProof/>
                <w:color w:val="000000"/>
                <w:sz w:val="24"/>
                <w:szCs w:val="24"/>
              </w:rPr>
              <w:t>IL-17</w:t>
            </w:r>
            <w:r>
              <w:rPr>
                <w:rFonts w:ascii="Times New Roman" w:hAnsi="Times New Roman" w:cs="Times New Roman" w:hint="eastAsia"/>
                <w:noProof/>
                <w:color w:val="000000"/>
                <w:sz w:val="24"/>
                <w:szCs w:val="24"/>
              </w:rPr>
              <w:t>和</w:t>
            </w:r>
            <w:r>
              <w:rPr>
                <w:rFonts w:ascii="Times New Roman" w:hAnsi="Times New Roman" w:cs="Times New Roman"/>
                <w:noProof/>
                <w:color w:val="000000"/>
                <w:sz w:val="24"/>
                <w:szCs w:val="24"/>
              </w:rPr>
              <w:t>IFNγ</w:t>
            </w:r>
            <w:r>
              <w:rPr>
                <w:rFonts w:ascii="Times New Roman" w:hAnsi="Times New Roman" w:cs="Times New Roman" w:hint="eastAsia"/>
                <w:noProof/>
                <w:color w:val="000000"/>
                <w:sz w:val="24"/>
                <w:szCs w:val="24"/>
              </w:rPr>
              <w:t>。</w:t>
            </w:r>
            <w:r>
              <w:rPr>
                <w:rFonts w:ascii="Times New Roman" w:hAnsi="Times New Roman" w:cs="Times New Roman"/>
                <w:noProof/>
                <w:color w:val="000000"/>
                <w:sz w:val="24"/>
                <w:szCs w:val="24"/>
              </w:rPr>
              <w:t>cigb-814</w:t>
            </w:r>
            <w:r>
              <w:rPr>
                <w:rFonts w:ascii="Times New Roman" w:hAnsi="Times New Roman" w:cs="Times New Roman" w:hint="eastAsia"/>
                <w:noProof/>
                <w:color w:val="000000"/>
                <w:sz w:val="24"/>
                <w:szCs w:val="24"/>
              </w:rPr>
              <w:t>药代动力学特性显示其是很好的治疗性药物。这些研究结果已发表</w:t>
            </w: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正评估此药物治疗其他自身免疫性疾病如</w:t>
            </w:r>
            <w:r>
              <w:rPr>
                <w:rFonts w:ascii="Times New Roman" w:hAnsi="Times New Roman" w:cs="Times New Roman"/>
                <w:noProof/>
                <w:color w:val="000000"/>
                <w:sz w:val="24"/>
                <w:szCs w:val="24"/>
              </w:rPr>
              <w:t>I</w:t>
            </w:r>
            <w:r>
              <w:rPr>
                <w:rFonts w:ascii="Times New Roman" w:hAnsi="Times New Roman" w:cs="Times New Roman" w:hint="eastAsia"/>
                <w:noProof/>
                <w:color w:val="000000"/>
                <w:sz w:val="24"/>
                <w:szCs w:val="24"/>
              </w:rPr>
              <w:t>型糖尿病和克隆氏病和青少年类风湿性关节炎的前景。这些疾病中</w:t>
            </w:r>
            <w:r>
              <w:rPr>
                <w:rFonts w:ascii="Times New Roman" w:hAnsi="Times New Roman" w:cs="Times New Roman"/>
                <w:noProof/>
                <w:color w:val="000000"/>
                <w:sz w:val="24"/>
                <w:szCs w:val="24"/>
              </w:rPr>
              <w:t>HSP60</w:t>
            </w:r>
            <w:r>
              <w:rPr>
                <w:rFonts w:ascii="Times New Roman" w:hAnsi="Times New Roman" w:cs="Times New Roman" w:hint="eastAsia"/>
                <w:noProof/>
                <w:color w:val="000000"/>
                <w:sz w:val="24"/>
                <w:szCs w:val="24"/>
              </w:rPr>
              <w:t>是自身抗原。</w:t>
            </w:r>
            <w:r>
              <w:rPr>
                <w:rFonts w:ascii="Times New Roman" w:hAnsi="Times New Roman" w:cs="Times New Roman"/>
                <w:noProof/>
                <w:color w:val="000000"/>
                <w:sz w:val="24"/>
                <w:szCs w:val="24"/>
              </w:rPr>
              <w:t xml:space="preserve">  </w:t>
            </w:r>
          </w:p>
          <w:p w14:paraId="5A6401C5" w14:textId="77777777" w:rsidR="00E029D5" w:rsidRDefault="00E029D5" w:rsidP="0097719D">
            <w:pPr>
              <w:rPr>
                <w:rFonts w:ascii="Times New Roman" w:hAnsi="Times New Roman" w:cs="Times New Roman"/>
                <w:noProof/>
                <w:color w:val="000000"/>
                <w:sz w:val="24"/>
                <w:szCs w:val="24"/>
              </w:rPr>
            </w:pPr>
          </w:p>
          <w:p w14:paraId="49A4C7CB"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专利</w:t>
            </w:r>
          </w:p>
          <w:p w14:paraId="51919FCB"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color w:val="000000"/>
                <w:sz w:val="24"/>
                <w:szCs w:val="24"/>
              </w:rPr>
              <w:t>HSP60</w:t>
            </w:r>
            <w:r>
              <w:rPr>
                <w:rFonts w:ascii="Times New Roman" w:hAnsi="宋体" w:cs="Times New Roman" w:hint="eastAsia"/>
                <w:color w:val="000000"/>
                <w:sz w:val="24"/>
                <w:szCs w:val="24"/>
                <w:lang w:val="zh-CN"/>
              </w:rPr>
              <w:t>和药物组合物的肽与衍生</w:t>
            </w:r>
            <w:r>
              <w:rPr>
                <w:rFonts w:ascii="Times New Roman" w:hAnsi="Times New Roman" w:cs="Times New Roman"/>
                <w:color w:val="000000"/>
                <w:sz w:val="24"/>
                <w:szCs w:val="24"/>
              </w:rPr>
              <w:t>APL</w:t>
            </w:r>
            <w:bookmarkStart w:id="0" w:name="OLE_LINK91"/>
            <w:bookmarkStart w:id="1" w:name="OLE_LINK92"/>
            <w:r>
              <w:rPr>
                <w:rFonts w:ascii="Times New Roman" w:hAnsi="宋体" w:cs="Times New Roman" w:hint="eastAsia"/>
                <w:color w:val="000000"/>
                <w:sz w:val="24"/>
                <w:szCs w:val="24"/>
                <w:lang w:val="zh-CN"/>
              </w:rPr>
              <w:t>已在欧洲、</w:t>
            </w:r>
            <w:bookmarkEnd w:id="0"/>
            <w:bookmarkEnd w:id="1"/>
            <w:r>
              <w:rPr>
                <w:rFonts w:ascii="Times New Roman" w:hAnsi="宋体" w:cs="Times New Roman" w:hint="eastAsia"/>
                <w:color w:val="000000"/>
                <w:sz w:val="24"/>
                <w:szCs w:val="24"/>
                <w:lang w:val="zh-CN"/>
              </w:rPr>
              <w:t>中国、日本、韩国、阿根廷、俄罗斯和墨西哥获得专利。</w:t>
            </w:r>
          </w:p>
          <w:p w14:paraId="5AAC21E9"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w:t>
            </w:r>
          </w:p>
          <w:p w14:paraId="189DC874" w14:textId="77777777" w:rsidR="00E029D5" w:rsidRDefault="00E029D5" w:rsidP="0097719D">
            <w:pPr>
              <w:shd w:val="clear" w:color="auto" w:fill="FFFFFF"/>
              <w:snapToGrid w:val="0"/>
              <w:spacing w:beforeLines="50" w:before="156" w:afterLines="50" w:after="156"/>
              <w:rPr>
                <w:rFonts w:ascii="Times New Roman" w:hAnsi="宋体" w:cs="Times New Roman"/>
                <w:color w:val="000000"/>
                <w:sz w:val="24"/>
                <w:szCs w:val="24"/>
                <w:lang w:val="zh-CN"/>
              </w:rPr>
            </w:pPr>
            <w:r>
              <w:rPr>
                <w:rFonts w:ascii="Times New Roman" w:hAnsi="Times New Roman" w:cs="Times New Roman" w:hint="eastAsia"/>
                <w:noProof/>
                <w:color w:val="000000"/>
                <w:sz w:val="24"/>
                <w:szCs w:val="24"/>
                <w:lang w:val="es-ES"/>
              </w:rPr>
              <w:t>通过</w:t>
            </w:r>
            <w:r>
              <w:rPr>
                <w:rFonts w:ascii="Times New Roman" w:hAnsi="Times New Roman" w:cs="Times New Roman"/>
                <w:noProof/>
                <w:color w:val="000000"/>
                <w:sz w:val="24"/>
                <w:szCs w:val="24"/>
                <w:lang w:val="es-ES"/>
              </w:rPr>
              <w:t>APL</w:t>
            </w:r>
            <w:r>
              <w:rPr>
                <w:rFonts w:ascii="Times New Roman" w:hAnsi="Times New Roman" w:cs="Times New Roman" w:hint="eastAsia"/>
                <w:noProof/>
                <w:color w:val="000000"/>
                <w:sz w:val="24"/>
                <w:szCs w:val="24"/>
                <w:lang w:val="es-ES"/>
              </w:rPr>
              <w:t>肽来治疗炎症性肠病和</w:t>
            </w:r>
            <w:r>
              <w:rPr>
                <w:rFonts w:ascii="Times New Roman" w:hAnsi="Times New Roman" w:cs="Times New Roman"/>
                <w:noProof/>
                <w:color w:val="000000"/>
                <w:sz w:val="24"/>
                <w:szCs w:val="24"/>
                <w:lang w:val="es-ES"/>
              </w:rPr>
              <w:t>I</w:t>
            </w:r>
            <w:r>
              <w:rPr>
                <w:rFonts w:ascii="Times New Roman" w:hAnsi="Times New Roman" w:cs="Times New Roman" w:hint="eastAsia"/>
                <w:noProof/>
                <w:color w:val="000000"/>
                <w:sz w:val="24"/>
                <w:szCs w:val="24"/>
                <w:lang w:val="es-ES"/>
              </w:rPr>
              <w:t>型糖尿病足。</w:t>
            </w:r>
            <w:r>
              <w:rPr>
                <w:rFonts w:ascii="Times New Roman" w:hAnsi="宋体" w:cs="Times New Roman" w:hint="eastAsia"/>
                <w:color w:val="000000"/>
                <w:sz w:val="24"/>
                <w:szCs w:val="24"/>
                <w:lang w:val="zh-CN"/>
              </w:rPr>
              <w:t>已在欧洲、俄罗斯、墨西哥获得专利。</w:t>
            </w:r>
          </w:p>
          <w:p w14:paraId="781FD7B0" w14:textId="77777777" w:rsidR="00E029D5" w:rsidRDefault="00E029D5" w:rsidP="0097719D">
            <w:pPr>
              <w:rPr>
                <w:rFonts w:ascii="Times New Roman" w:hAnsi="Times New Roman" w:cs="Times New Roman"/>
                <w:noProof/>
                <w:color w:val="000000"/>
                <w:sz w:val="24"/>
                <w:szCs w:val="24"/>
                <w:lang w:val="es-ES"/>
              </w:rPr>
            </w:pPr>
            <w:r>
              <w:rPr>
                <w:rFonts w:ascii="Times New Roman" w:hAnsi="Times New Roman" w:cs="Times New Roman" w:hint="eastAsia"/>
                <w:noProof/>
                <w:color w:val="000000"/>
                <w:sz w:val="24"/>
                <w:szCs w:val="24"/>
                <w:lang w:val="es-ES"/>
              </w:rPr>
              <w:t>发表的学术论文</w:t>
            </w:r>
          </w:p>
          <w:p w14:paraId="78A27B10" w14:textId="77777777" w:rsidR="00E029D5" w:rsidRDefault="00E029D5" w:rsidP="0097719D">
            <w:pPr>
              <w:rPr>
                <w:rFonts w:ascii="Times New Roman" w:hAnsi="Times New Roman" w:cs="Times New Roman"/>
                <w:noProof/>
                <w:color w:val="000000"/>
                <w:sz w:val="24"/>
                <w:szCs w:val="24"/>
              </w:rPr>
            </w:pPr>
            <w:r>
              <w:rPr>
                <w:rFonts w:ascii="Symbol" w:hAnsi="Symbol" w:cs="Symbol"/>
              </w:rPr>
              <w:t></w:t>
            </w:r>
            <w:r>
              <w:rPr>
                <w:rFonts w:ascii="Times New Roman" w:hAnsi="Times New Roman" w:cs="Times New Roman"/>
                <w:noProof/>
                <w:color w:val="000000"/>
                <w:sz w:val="24"/>
                <w:szCs w:val="24"/>
              </w:rPr>
              <w:t xml:space="preserve"> Autoimmunity 2011; 44(6):471-482  </w:t>
            </w:r>
            <w:r>
              <w:rPr>
                <w:rFonts w:ascii="Times New Roman" w:hAnsi="Times New Roman" w:cs="Times New Roman" w:hint="eastAsia"/>
                <w:noProof/>
                <w:color w:val="000000"/>
                <w:sz w:val="24"/>
                <w:szCs w:val="24"/>
              </w:rPr>
              <w:t>自身免疫</w:t>
            </w:r>
          </w:p>
          <w:p w14:paraId="0C580608"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Autoimmunity, 2012; 45(6): 449–459.  </w:t>
            </w:r>
            <w:r>
              <w:rPr>
                <w:rFonts w:ascii="Times New Roman" w:hAnsi="Times New Roman" w:cs="Times New Roman" w:hint="eastAsia"/>
                <w:noProof/>
                <w:color w:val="000000"/>
                <w:sz w:val="24"/>
                <w:szCs w:val="24"/>
              </w:rPr>
              <w:t>自身免疫</w:t>
            </w:r>
          </w:p>
          <w:p w14:paraId="27EC2611"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International Immunopharmacology 2013; 17 (4): 1075-1083. </w:t>
            </w:r>
            <w:r>
              <w:rPr>
                <w:rFonts w:ascii="Times New Roman" w:hAnsi="Times New Roman" w:cs="Times New Roman" w:hint="eastAsia"/>
                <w:noProof/>
                <w:color w:val="000000"/>
                <w:sz w:val="24"/>
                <w:szCs w:val="24"/>
              </w:rPr>
              <w:t>国际免疫药理学</w:t>
            </w:r>
          </w:p>
          <w:p w14:paraId="297D26C1"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Clin Exp Med 2015; DOI 10.1007/s10238-014-0273-x.</w:t>
            </w:r>
          </w:p>
          <w:p w14:paraId="41448604" w14:textId="77777777" w:rsidR="00E029D5" w:rsidRDefault="00E029D5"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Clin Exp Med 2015.</w:t>
            </w:r>
          </w:p>
          <w:p w14:paraId="7CD6215D" w14:textId="77777777" w:rsidR="00E029D5" w:rsidRDefault="00E029D5" w:rsidP="0097719D">
            <w:pPr>
              <w:shd w:val="clear" w:color="auto" w:fill="FFFFFF"/>
              <w:snapToGrid w:val="0"/>
              <w:spacing w:beforeLines="50" w:before="156" w:afterLines="50" w:after="156"/>
              <w:rPr>
                <w:rFonts w:ascii="Times New Roman" w:hAnsi="宋体" w:cs="Times New Roman"/>
                <w:color w:val="000000"/>
                <w:sz w:val="24"/>
                <w:szCs w:val="24"/>
                <w:lang w:val="zh-CN"/>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Cell Stress and Chaperones. 2016. </w:t>
            </w:r>
            <w:r>
              <w:rPr>
                <w:rFonts w:ascii="Times New Roman" w:hAnsi="Times New Roman" w:cs="Times New Roman" w:hint="eastAsia"/>
                <w:noProof/>
                <w:color w:val="000000"/>
                <w:sz w:val="24"/>
                <w:szCs w:val="24"/>
              </w:rPr>
              <w:t>细胞应激和陪伴蛋白</w:t>
            </w:r>
          </w:p>
        </w:tc>
      </w:tr>
    </w:tbl>
    <w:p w14:paraId="2CC479BA" w14:textId="77777777" w:rsidR="00E029D5" w:rsidRDefault="00E029D5" w:rsidP="00E029D5">
      <w:pPr>
        <w:tabs>
          <w:tab w:val="left" w:pos="800"/>
        </w:tabs>
        <w:autoSpaceDE/>
        <w:snapToGrid w:val="0"/>
        <w:spacing w:beforeLines="50" w:before="156" w:afterLines="50" w:after="156"/>
        <w:jc w:val="both"/>
        <w:rPr>
          <w:rFonts w:ascii="Times New Roman" w:hAnsi="Times New Roman" w:cs="Times New Roman"/>
          <w:b/>
          <w:bCs/>
          <w:snapToGrid w:val="0"/>
          <w:color w:val="FFFFFF"/>
          <w:sz w:val="24"/>
          <w:szCs w:val="34"/>
        </w:rPr>
      </w:pPr>
    </w:p>
    <w:p w14:paraId="7AAD76CA" w14:textId="77777777" w:rsidR="004C73CB" w:rsidRPr="00E029D5" w:rsidRDefault="004C73CB" w:rsidP="00E029D5">
      <w:bookmarkStart w:id="2" w:name="_GoBack"/>
      <w:bookmarkEnd w:id="2"/>
    </w:p>
    <w:sectPr w:rsidR="004C73CB" w:rsidRPr="00E029D5" w:rsidSect="00D534D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C705B"/>
    <w:multiLevelType w:val="hybridMultilevel"/>
    <w:tmpl w:val="A844EA6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D"/>
    <w:rsid w:val="00165384"/>
    <w:rsid w:val="004277D4"/>
    <w:rsid w:val="004C73CB"/>
    <w:rsid w:val="00746260"/>
    <w:rsid w:val="008D1191"/>
    <w:rsid w:val="008F2ADA"/>
    <w:rsid w:val="00D534DD"/>
    <w:rsid w:val="00DA15FD"/>
    <w:rsid w:val="00E029D5"/>
    <w:rsid w:val="00F9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22E9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6D"/>
    <w:pPr>
      <w:widowControl w:val="0"/>
      <w:autoSpaceDE w:val="0"/>
      <w:autoSpaceDN w:val="0"/>
      <w:adjustRightInd w:val="0"/>
    </w:pPr>
    <w:rPr>
      <w:rFonts w:ascii="Arial" w:eastAsia="宋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F9486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1504</Characters>
  <Application>Microsoft Macintosh Word</Application>
  <DocSecurity>0</DocSecurity>
  <Lines>12</Lines>
  <Paragraphs>3</Paragraphs>
  <ScaleCrop>false</ScaleCrop>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2016-11-09T08:09:00Z</dcterms:created>
  <dcterms:modified xsi:type="dcterms:W3CDTF">2016-11-09T08:09:00Z</dcterms:modified>
</cp:coreProperties>
</file>