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682A8" w14:textId="77777777" w:rsidR="00746260" w:rsidRDefault="00746260" w:rsidP="00746260">
      <w:pPr>
        <w:shd w:val="clear" w:color="auto" w:fill="20A0C6"/>
        <w:tabs>
          <w:tab w:val="left" w:pos="800"/>
        </w:tabs>
        <w:autoSpaceDE/>
        <w:snapToGrid w:val="0"/>
        <w:spacing w:beforeLines="50" w:before="156" w:afterLines="50" w:after="156"/>
        <w:jc w:val="both"/>
        <w:rPr>
          <w:rFonts w:ascii="Times New Roman" w:hAnsi="Times New Roman" w:cs="Times New Roman"/>
          <w:b/>
          <w:color w:val="FFFFFF"/>
          <w:sz w:val="24"/>
          <w:szCs w:val="24"/>
        </w:rPr>
      </w:pPr>
      <w:r>
        <w:rPr>
          <w:rFonts w:ascii="Times New Roman" w:hAnsi="Times New Roman" w:cs="Times New Roman"/>
          <w:b/>
          <w:noProof/>
          <w:color w:val="FFFFFF"/>
          <w:sz w:val="24"/>
          <w:szCs w:val="24"/>
        </w:rPr>
        <w:t xml:space="preserve">CIGB128 </w:t>
      </w:r>
      <w:r>
        <w:rPr>
          <w:rFonts w:ascii="Times New Roman" w:hAnsi="宋体" w:cs="Times New Roman"/>
          <w:b/>
          <w:color w:val="FFFFFF"/>
          <w:sz w:val="24"/>
          <w:szCs w:val="24"/>
        </w:rPr>
        <w:t>(</w:t>
      </w:r>
      <w:proofErr w:type="spellStart"/>
      <w:r>
        <w:rPr>
          <w:rFonts w:ascii="Times New Roman" w:hAnsi="Times New Roman" w:cs="Times New Roman"/>
          <w:b/>
          <w:color w:val="FFFFFF"/>
          <w:sz w:val="24"/>
          <w:szCs w:val="24"/>
        </w:rPr>
        <w:t>HeberFERON</w:t>
      </w:r>
      <w:proofErr w:type="spellEnd"/>
      <w:r>
        <w:rPr>
          <w:rFonts w:ascii="Times New Roman" w:hAnsi="宋体" w:cs="Times New Roman"/>
          <w:b/>
          <w:color w:val="FFFFFF"/>
          <w:sz w:val="24"/>
          <w:szCs w:val="24"/>
        </w:rPr>
        <w:t xml:space="preserve">): </w:t>
      </w:r>
      <w:r>
        <w:rPr>
          <w:rFonts w:ascii="Times New Roman" w:hAnsi="宋体" w:cs="Times New Roman" w:hint="eastAsia"/>
          <w:b/>
          <w:color w:val="FFFFFF"/>
          <w:sz w:val="24"/>
          <w:szCs w:val="24"/>
          <w:lang w:val="zh-CN"/>
        </w:rPr>
        <w:t>开发包含干扰素</w:t>
      </w:r>
      <w:r>
        <w:rPr>
          <w:b/>
          <w:color w:val="FFFFFF"/>
          <w:sz w:val="24"/>
          <w:szCs w:val="24"/>
        </w:rPr>
        <w:t>α</w:t>
      </w:r>
      <w:r>
        <w:rPr>
          <w:rFonts w:ascii="Times New Roman" w:hAnsi="宋体" w:cs="Times New Roman" w:hint="eastAsia"/>
          <w:b/>
          <w:color w:val="FFFFFF"/>
          <w:sz w:val="24"/>
          <w:szCs w:val="24"/>
          <w:lang w:val="zh-CN"/>
        </w:rPr>
        <w:t>和</w:t>
      </w:r>
      <w:r>
        <w:rPr>
          <w:b/>
          <w:color w:val="FFFFFF"/>
          <w:sz w:val="24"/>
          <w:szCs w:val="24"/>
        </w:rPr>
        <w:t>γ</w:t>
      </w:r>
      <w:r>
        <w:rPr>
          <w:rFonts w:ascii="Times New Roman" w:hAnsi="宋体" w:cs="Times New Roman" w:hint="eastAsia"/>
          <w:b/>
          <w:color w:val="FFFFFF"/>
          <w:sz w:val="24"/>
          <w:szCs w:val="24"/>
          <w:lang w:val="zh-CN"/>
        </w:rPr>
        <w:t>的新型抗非黑色素皮肤癌制剂</w:t>
      </w:r>
    </w:p>
    <w:p w14:paraId="1F0F2513" w14:textId="77777777" w:rsidR="00746260" w:rsidRDefault="00746260" w:rsidP="00746260">
      <w:pPr>
        <w:shd w:val="clear" w:color="auto" w:fill="FFFFFF"/>
        <w:tabs>
          <w:tab w:val="left" w:pos="800"/>
        </w:tabs>
        <w:autoSpaceDE/>
        <w:snapToGrid w:val="0"/>
        <w:spacing w:beforeLines="50" w:before="156" w:afterLines="50" w:after="156"/>
        <w:jc w:val="both"/>
        <w:rPr>
          <w:rFonts w:ascii="Times New Roman" w:hAnsi="Times New Roman" w:cs="Times New Roman"/>
          <w:b/>
          <w:noProof/>
          <w:color w:val="0586C0"/>
          <w:sz w:val="24"/>
          <w:szCs w:val="24"/>
        </w:rPr>
      </w:pPr>
      <w:r>
        <w:rPr>
          <w:rFonts w:ascii="Times New Roman" w:hAnsi="Times New Roman" w:cs="Times New Roman" w:hint="eastAsia"/>
          <w:b/>
          <w:noProof/>
          <w:color w:val="0586C0"/>
          <w:sz w:val="24"/>
          <w:szCs w:val="24"/>
        </w:rPr>
        <w:t>基因工程与生物技术中心</w:t>
      </w:r>
      <w:r>
        <w:rPr>
          <w:rFonts w:ascii="Times New Roman" w:hAnsi="Times New Roman" w:cs="Times New Roman"/>
          <w:b/>
          <w:noProof/>
          <w:color w:val="0586C0"/>
          <w:sz w:val="24"/>
          <w:szCs w:val="24"/>
        </w:rPr>
        <w:t xml:space="preserve">, </w:t>
      </w:r>
      <w:r>
        <w:rPr>
          <w:rFonts w:ascii="Times New Roman" w:hAnsi="Times New Roman" w:cs="Times New Roman" w:hint="eastAsia"/>
          <w:b/>
          <w:noProof/>
          <w:color w:val="0586C0"/>
          <w:sz w:val="24"/>
          <w:szCs w:val="24"/>
        </w:rPr>
        <w:t>古巴，哈瓦那</w:t>
      </w:r>
    </w:p>
    <w:p w14:paraId="230E0CAA" w14:textId="77777777" w:rsidR="00746260" w:rsidRDefault="00746260" w:rsidP="00746260">
      <w:pPr>
        <w:shd w:val="clear" w:color="auto" w:fill="FFFFFF"/>
        <w:tabs>
          <w:tab w:val="left" w:pos="800"/>
        </w:tabs>
        <w:autoSpaceDE/>
        <w:snapToGrid w:val="0"/>
        <w:spacing w:beforeLines="50" w:before="156" w:afterLines="50" w:after="156"/>
        <w:jc w:val="both"/>
        <w:rPr>
          <w:rFonts w:ascii="Times New Roman" w:hAnsi="Times New Roman" w:cs="Times New Roman"/>
          <w:b/>
          <w:color w:val="0586C0"/>
          <w:sz w:val="24"/>
          <w:szCs w:val="24"/>
        </w:rPr>
      </w:pPr>
      <w:r>
        <w:rPr>
          <w:rFonts w:ascii="Times New Roman" w:hAnsi="宋体" w:cs="Times New Roman" w:hint="eastAsia"/>
          <w:b/>
          <w:color w:val="0586C0"/>
          <w:sz w:val="24"/>
          <w:szCs w:val="24"/>
          <w:lang w:val="zh-CN"/>
        </w:rPr>
        <w:t>领域：肿瘤学</w:t>
      </w:r>
    </w:p>
    <w:tbl>
      <w:tblPr>
        <w:tblW w:w="5000" w:type="pct"/>
        <w:tblCellMar>
          <w:left w:w="40" w:type="dxa"/>
          <w:right w:w="40" w:type="dxa"/>
        </w:tblCellMar>
        <w:tblLook w:val="04A0" w:firstRow="1" w:lastRow="0" w:firstColumn="1" w:lastColumn="0" w:noHBand="0" w:noVBand="1"/>
      </w:tblPr>
      <w:tblGrid>
        <w:gridCol w:w="8300"/>
      </w:tblGrid>
      <w:tr w:rsidR="00746260" w14:paraId="005C7CBC" w14:textId="77777777" w:rsidTr="0097719D">
        <w:tc>
          <w:tcPr>
            <w:tcW w:w="5000" w:type="pct"/>
            <w:tcBorders>
              <w:top w:val="nil"/>
              <w:left w:val="nil"/>
              <w:bottom w:val="single" w:sz="12" w:space="0" w:color="24A0D9"/>
              <w:right w:val="nil"/>
            </w:tcBorders>
            <w:shd w:val="clear" w:color="auto" w:fill="FFFFFF"/>
            <w:hideMark/>
          </w:tcPr>
          <w:p w14:paraId="6D08A986" w14:textId="77777777" w:rsidR="00746260" w:rsidRDefault="00746260" w:rsidP="0097719D">
            <w:pPr>
              <w:shd w:val="clear" w:color="auto" w:fill="FFFFFF"/>
              <w:tabs>
                <w:tab w:val="left" w:pos="800"/>
              </w:tabs>
              <w:autoSpaceDE/>
              <w:snapToGrid w:val="0"/>
              <w:spacing w:beforeLines="50" w:before="156" w:afterLines="50" w:after="156"/>
              <w:jc w:val="both"/>
              <w:rPr>
                <w:rFonts w:ascii="Times New Roman" w:hAnsi="Times New Roman" w:cs="Times New Roman"/>
                <w:szCs w:val="24"/>
              </w:rPr>
            </w:pPr>
            <w:r>
              <w:rPr>
                <w:rFonts w:ascii="Times New Roman" w:hAnsi="宋体" w:cs="Times New Roman" w:hint="eastAsia"/>
                <w:color w:val="000000"/>
                <w:sz w:val="24"/>
                <w:szCs w:val="24"/>
                <w:lang w:val="zh-CN"/>
              </w:rPr>
              <w:t>目标</w:t>
            </w:r>
          </w:p>
        </w:tc>
      </w:tr>
      <w:tr w:rsidR="00746260" w14:paraId="10148D00" w14:textId="77777777" w:rsidTr="0097719D">
        <w:tc>
          <w:tcPr>
            <w:tcW w:w="5000" w:type="pct"/>
            <w:tcBorders>
              <w:top w:val="single" w:sz="12" w:space="0" w:color="24A0D9"/>
              <w:left w:val="nil"/>
              <w:bottom w:val="nil"/>
              <w:right w:val="nil"/>
            </w:tcBorders>
            <w:shd w:val="clear" w:color="auto" w:fill="FFFFFF"/>
            <w:hideMark/>
          </w:tcPr>
          <w:p w14:paraId="7729DFEE" w14:textId="77777777" w:rsidR="00746260" w:rsidRDefault="00746260" w:rsidP="0097719D">
            <w:pPr>
              <w:shd w:val="clear" w:color="auto" w:fill="FFFFFF"/>
              <w:tabs>
                <w:tab w:val="left" w:pos="800"/>
              </w:tabs>
              <w:autoSpaceDE/>
              <w:snapToGrid w:val="0"/>
              <w:spacing w:beforeLines="50" w:before="156" w:afterLines="50" w:after="156"/>
              <w:jc w:val="both"/>
              <w:rPr>
                <w:rFonts w:ascii="Times New Roman" w:hAnsi="宋体" w:cs="Times New Roman"/>
                <w:color w:val="000000"/>
                <w:sz w:val="24"/>
                <w:szCs w:val="24"/>
              </w:rPr>
            </w:pPr>
            <w:r>
              <w:rPr>
                <w:rFonts w:ascii="Times New Roman" w:hAnsi="宋体" w:cs="Times New Roman" w:hint="eastAsia"/>
                <w:color w:val="000000"/>
                <w:sz w:val="24"/>
                <w:szCs w:val="24"/>
                <w:lang w:val="zh-CN"/>
              </w:rPr>
              <w:t>开发一种用于治疗非黑色素皮肤癌患者的新型制剂</w:t>
            </w:r>
            <w:r>
              <w:rPr>
                <w:rFonts w:ascii="Times New Roman" w:hAnsi="宋体" w:cs="Times New Roman" w:hint="eastAsia"/>
                <w:color w:val="000000"/>
                <w:sz w:val="24"/>
                <w:szCs w:val="24"/>
              </w:rPr>
              <w:t>，</w:t>
            </w:r>
            <w:r>
              <w:rPr>
                <w:rFonts w:ascii="Times New Roman" w:hAnsi="宋体" w:cs="Times New Roman" w:hint="eastAsia"/>
                <w:color w:val="000000"/>
                <w:sz w:val="24"/>
                <w:szCs w:val="24"/>
                <w:lang w:val="zh-CN"/>
              </w:rPr>
              <w:t>其包含配合比例的干扰素</w:t>
            </w:r>
            <w:bookmarkStart w:id="0" w:name="OLE_LINK20"/>
            <w:bookmarkStart w:id="1" w:name="OLE_LINK21"/>
            <w:r>
              <w:rPr>
                <w:rFonts w:ascii="Times New Roman" w:hAnsi="Times New Roman" w:cs="Times New Roman"/>
                <w:color w:val="000000"/>
                <w:sz w:val="24"/>
                <w:szCs w:val="24"/>
                <w:lang w:val="zh-CN"/>
              </w:rPr>
              <w:t>α</w:t>
            </w:r>
            <w:r>
              <w:rPr>
                <w:rFonts w:ascii="Times New Roman" w:hAnsi="Times New Roman" w:cs="Times New Roman" w:hint="eastAsia"/>
                <w:color w:val="000000"/>
                <w:sz w:val="24"/>
                <w:szCs w:val="24"/>
                <w:lang w:val="zh-CN"/>
              </w:rPr>
              <w:t>和</w:t>
            </w:r>
            <w:r>
              <w:rPr>
                <w:rFonts w:ascii="Times New Roman" w:hAnsi="Times New Roman" w:cs="Times New Roman"/>
                <w:color w:val="000000"/>
                <w:sz w:val="24"/>
                <w:szCs w:val="24"/>
                <w:lang w:val="zh-CN"/>
              </w:rPr>
              <w:t>γ</w:t>
            </w:r>
            <w:bookmarkEnd w:id="0"/>
            <w:bookmarkEnd w:id="1"/>
            <w:r>
              <w:rPr>
                <w:rFonts w:ascii="Times New Roman" w:hAnsi="宋体" w:cs="Times New Roman" w:hint="eastAsia"/>
                <w:color w:val="000000"/>
                <w:sz w:val="24"/>
                <w:szCs w:val="24"/>
              </w:rPr>
              <w:t>，</w:t>
            </w:r>
            <w:r>
              <w:rPr>
                <w:rFonts w:ascii="Times New Roman" w:hAnsi="宋体" w:cs="Times New Roman" w:hint="eastAsia"/>
                <w:color w:val="000000"/>
                <w:sz w:val="24"/>
                <w:szCs w:val="24"/>
                <w:lang w:val="zh-CN"/>
              </w:rPr>
              <w:t>以抗增生性质为基础。</w:t>
            </w:r>
          </w:p>
          <w:p w14:paraId="1C80B10A" w14:textId="77777777" w:rsidR="00746260" w:rsidRDefault="00746260" w:rsidP="0097719D">
            <w:pPr>
              <w:shd w:val="clear" w:color="auto" w:fill="FFFFFF"/>
              <w:tabs>
                <w:tab w:val="left" w:pos="800"/>
              </w:tabs>
              <w:autoSpaceDE/>
              <w:snapToGrid w:val="0"/>
              <w:spacing w:beforeLines="50" w:before="156" w:afterLines="50" w:after="156"/>
              <w:jc w:val="both"/>
              <w:rPr>
                <w:rFonts w:ascii="Times New Roman" w:hAnsi="Times New Roman" w:cs="Times New Roman"/>
                <w:snapToGrid w:val="0"/>
                <w:sz w:val="24"/>
              </w:rPr>
            </w:pPr>
            <w:r>
              <w:rPr>
                <w:rFonts w:ascii="Times New Roman" w:hAnsi="Times New Roman" w:cs="Times New Roman" w:hint="eastAsia"/>
                <w:snapToGrid w:val="0"/>
                <w:sz w:val="24"/>
              </w:rPr>
              <w:t>商业建议：</w:t>
            </w:r>
            <w:bookmarkStart w:id="2" w:name="OLE_LINK69"/>
            <w:r>
              <w:rPr>
                <w:rFonts w:ascii="Times New Roman" w:hAnsi="宋体" w:cs="Times New Roman" w:hint="eastAsia"/>
                <w:color w:val="000000"/>
                <w:sz w:val="24"/>
                <w:szCs w:val="24"/>
                <w:lang w:val="zh-CN"/>
              </w:rPr>
              <w:t>寻求建立合作关系，项目进行对外许可和联合开发。</w:t>
            </w:r>
            <w:bookmarkEnd w:id="2"/>
          </w:p>
        </w:tc>
      </w:tr>
      <w:tr w:rsidR="00746260" w14:paraId="50B4F40D" w14:textId="77777777" w:rsidTr="0097719D">
        <w:tc>
          <w:tcPr>
            <w:tcW w:w="5000" w:type="pct"/>
            <w:tcBorders>
              <w:top w:val="nil"/>
              <w:left w:val="nil"/>
              <w:bottom w:val="single" w:sz="12" w:space="0" w:color="24A0D9"/>
              <w:right w:val="nil"/>
            </w:tcBorders>
            <w:shd w:val="clear" w:color="auto" w:fill="FFFFFF"/>
            <w:hideMark/>
          </w:tcPr>
          <w:p w14:paraId="7F71ED99" w14:textId="77777777" w:rsidR="00746260" w:rsidRDefault="00746260" w:rsidP="0097719D">
            <w:pPr>
              <w:shd w:val="clear" w:color="auto" w:fill="FFFFFF"/>
              <w:tabs>
                <w:tab w:val="left" w:pos="800"/>
              </w:tabs>
              <w:autoSpaceDE/>
              <w:snapToGrid w:val="0"/>
              <w:spacing w:beforeLines="50" w:before="156" w:afterLines="50" w:after="156"/>
              <w:jc w:val="both"/>
              <w:rPr>
                <w:rFonts w:ascii="Times New Roman" w:hAnsi="Times New Roman" w:cs="Times New Roman"/>
                <w:szCs w:val="24"/>
              </w:rPr>
            </w:pPr>
            <w:r>
              <w:rPr>
                <w:rFonts w:ascii="Times New Roman" w:hAnsi="宋体" w:cs="Times New Roman" w:hint="eastAsia"/>
                <w:color w:val="000000"/>
                <w:sz w:val="24"/>
                <w:szCs w:val="24"/>
                <w:lang w:val="zh-CN"/>
              </w:rPr>
              <w:t>说明</w:t>
            </w:r>
          </w:p>
        </w:tc>
      </w:tr>
      <w:tr w:rsidR="00746260" w14:paraId="4D24C23F" w14:textId="77777777" w:rsidTr="0097719D">
        <w:tc>
          <w:tcPr>
            <w:tcW w:w="5000" w:type="pct"/>
            <w:tcBorders>
              <w:top w:val="single" w:sz="12" w:space="0" w:color="24A0D9"/>
              <w:left w:val="nil"/>
              <w:bottom w:val="nil"/>
              <w:right w:val="nil"/>
            </w:tcBorders>
            <w:shd w:val="clear" w:color="auto" w:fill="FFFFFF"/>
          </w:tcPr>
          <w:p w14:paraId="49037F19" w14:textId="77777777" w:rsidR="00746260" w:rsidRDefault="00746260" w:rsidP="0097719D">
            <w:pPr>
              <w:rPr>
                <w:rFonts w:ascii="Times New Roman" w:hAnsi="Times New Roman" w:cs="Times New Roman"/>
                <w:noProof/>
                <w:color w:val="000000"/>
                <w:sz w:val="24"/>
                <w:szCs w:val="24"/>
              </w:rPr>
            </w:pPr>
            <w:r>
              <w:rPr>
                <w:rFonts w:ascii="Times New Roman" w:hAnsi="宋体" w:cs="Times New Roman" w:hint="eastAsia"/>
                <w:color w:val="000000"/>
                <w:sz w:val="24"/>
                <w:szCs w:val="24"/>
                <w:lang w:val="zh-CN"/>
              </w:rPr>
              <w:t>本制剂</w:t>
            </w:r>
            <w:r>
              <w:rPr>
                <w:rFonts w:ascii="Times New Roman" w:hAnsi="宋体" w:cs="Times New Roman" w:hint="eastAsia"/>
                <w:color w:val="000000"/>
                <w:sz w:val="24"/>
                <w:szCs w:val="24"/>
              </w:rPr>
              <w:t>（</w:t>
            </w:r>
            <w:proofErr w:type="spellStart"/>
            <w:r>
              <w:rPr>
                <w:rFonts w:ascii="Times New Roman" w:hAnsi="Times New Roman" w:cs="Times New Roman"/>
                <w:color w:val="000000"/>
                <w:sz w:val="24"/>
                <w:szCs w:val="24"/>
              </w:rPr>
              <w:t>HeberFERON</w:t>
            </w:r>
            <w:proofErr w:type="spellEnd"/>
            <w:r>
              <w:rPr>
                <w:rFonts w:ascii="Times New Roman" w:hAnsi="宋体" w:cs="Times New Roman" w:hint="eastAsia"/>
                <w:color w:val="000000"/>
                <w:sz w:val="24"/>
                <w:szCs w:val="24"/>
              </w:rPr>
              <w:t>）</w:t>
            </w:r>
            <w:r>
              <w:rPr>
                <w:rFonts w:ascii="Times New Roman" w:hAnsi="宋体" w:cs="Times New Roman" w:hint="eastAsia"/>
                <w:color w:val="000000"/>
                <w:sz w:val="24"/>
                <w:szCs w:val="24"/>
                <w:lang w:val="zh-CN"/>
              </w:rPr>
              <w:t>是一正处在临床研究中的药物，其具有更强大的抗肿瘤功效。包含干扰素</w:t>
            </w:r>
            <w:r>
              <w:rPr>
                <w:rFonts w:ascii="Times New Roman" w:hAnsi="Times New Roman" w:cs="Times New Roman"/>
                <w:color w:val="000000"/>
                <w:sz w:val="24"/>
                <w:szCs w:val="24"/>
                <w:lang w:val="zh-CN"/>
              </w:rPr>
              <w:t>α</w:t>
            </w:r>
            <w:r>
              <w:rPr>
                <w:rFonts w:ascii="Times New Roman" w:hAnsi="Times New Roman" w:cs="Times New Roman" w:hint="eastAsia"/>
                <w:color w:val="000000"/>
                <w:sz w:val="24"/>
                <w:szCs w:val="24"/>
                <w:lang w:val="zh-CN"/>
              </w:rPr>
              <w:t>和</w:t>
            </w:r>
            <w:r>
              <w:rPr>
                <w:rFonts w:ascii="Times New Roman" w:hAnsi="Times New Roman" w:cs="Times New Roman"/>
                <w:color w:val="000000"/>
                <w:sz w:val="24"/>
                <w:szCs w:val="24"/>
                <w:lang w:val="zh-CN"/>
              </w:rPr>
              <w:t>γ</w:t>
            </w:r>
            <w:r>
              <w:rPr>
                <w:rFonts w:ascii="Times New Roman" w:hAnsi="宋体" w:cs="Times New Roman" w:hint="eastAsia"/>
                <w:color w:val="000000"/>
                <w:sz w:val="24"/>
                <w:szCs w:val="24"/>
              </w:rPr>
              <w:t>，按照特定比例混合，对多种肿瘤（非黑色素瘤皮肤癌、恶性胶质瘤、结肠癌、肺癌和其他癌症）</w:t>
            </w:r>
            <w:r>
              <w:rPr>
                <w:rFonts w:ascii="Times New Roman" w:hAnsi="宋体" w:cs="Times New Roman" w:hint="eastAsia"/>
                <w:color w:val="000000"/>
                <w:sz w:val="24"/>
                <w:szCs w:val="24"/>
                <w:lang w:val="zh-CN"/>
              </w:rPr>
              <w:t>具有协同抗增殖功效。通过动物模型进行的研究已经证明本制剂具有抗增殖和抗血管生成功效。</w:t>
            </w:r>
          </w:p>
          <w:p w14:paraId="262FBCE6" w14:textId="77777777" w:rsidR="00746260" w:rsidRDefault="00746260"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通过非黑色素皮肤癌患者进行临床研究的结果证明，其具有更强大的治疗功效：更快速和全面的延长的临床应答。</w:t>
            </w:r>
          </w:p>
          <w:p w14:paraId="106E7CBA" w14:textId="77777777" w:rsidR="00746260" w:rsidRDefault="00746260" w:rsidP="0097719D">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inline distT="0" distB="0" distL="0" distR="0" wp14:anchorId="68DC828C" wp14:editId="6E893702">
                  <wp:extent cx="3803650" cy="1041400"/>
                  <wp:effectExtent l="0" t="0" r="635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3650" cy="1041400"/>
                          </a:xfrm>
                          <a:prstGeom prst="rect">
                            <a:avLst/>
                          </a:prstGeom>
                          <a:noFill/>
                          <a:ln>
                            <a:noFill/>
                          </a:ln>
                        </pic:spPr>
                      </pic:pic>
                    </a:graphicData>
                  </a:graphic>
                </wp:inline>
              </w:drawing>
            </w:r>
          </w:p>
          <w:p w14:paraId="79B3B5BF" w14:textId="77777777" w:rsidR="00746260" w:rsidRDefault="00746260" w:rsidP="0097719D">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inline distT="0" distB="0" distL="0" distR="0" wp14:anchorId="21103520" wp14:editId="05D2C799">
                  <wp:extent cx="2432050" cy="1136650"/>
                  <wp:effectExtent l="0" t="0" r="635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2050" cy="1136650"/>
                          </a:xfrm>
                          <a:prstGeom prst="rect">
                            <a:avLst/>
                          </a:prstGeom>
                          <a:noFill/>
                          <a:ln>
                            <a:noFill/>
                          </a:ln>
                        </pic:spPr>
                      </pic:pic>
                    </a:graphicData>
                  </a:graphic>
                </wp:inline>
              </w:drawing>
            </w:r>
          </w:p>
          <w:p w14:paraId="7E5059D8" w14:textId="77777777" w:rsidR="00746260" w:rsidRDefault="00746260"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hint="eastAsia"/>
                <w:noProof/>
                <w:color w:val="000000"/>
                <w:sz w:val="24"/>
                <w:szCs w:val="24"/>
              </w:rPr>
              <w:t>治疗前</w:t>
            </w:r>
            <w:r>
              <w:rPr>
                <w:rFonts w:ascii="Times New Roman" w:hAnsi="Times New Roman" w:cs="Times New Roman"/>
                <w:noProof/>
                <w:color w:val="000000"/>
                <w:sz w:val="24"/>
                <w:szCs w:val="24"/>
              </w:rPr>
              <w:t xml:space="preserve">           </w:t>
            </w:r>
            <w:r>
              <w:rPr>
                <w:rFonts w:ascii="Times New Roman" w:hAnsi="Times New Roman" w:cs="Times New Roman" w:hint="eastAsia"/>
                <w:noProof/>
                <w:color w:val="000000"/>
                <w:sz w:val="24"/>
                <w:szCs w:val="24"/>
              </w:rPr>
              <w:t>治疗后</w:t>
            </w:r>
          </w:p>
          <w:p w14:paraId="6B939E3D" w14:textId="77777777" w:rsidR="00746260" w:rsidRDefault="00746260" w:rsidP="0097719D">
            <w:pPr>
              <w:rPr>
                <w:rFonts w:ascii="Times New Roman" w:hAnsi="Times New Roman" w:cs="Times New Roman"/>
                <w:noProof/>
                <w:color w:val="000000"/>
                <w:sz w:val="24"/>
                <w:szCs w:val="24"/>
              </w:rPr>
            </w:pPr>
          </w:p>
          <w:p w14:paraId="192A8439" w14:textId="77777777" w:rsidR="00746260" w:rsidRDefault="00746260" w:rsidP="0097719D">
            <w:pPr>
              <w:shd w:val="clear" w:color="auto" w:fill="FFFFFF"/>
              <w:tabs>
                <w:tab w:val="left" w:pos="800"/>
              </w:tabs>
              <w:autoSpaceDE/>
              <w:snapToGrid w:val="0"/>
              <w:spacing w:beforeLines="50" w:before="156" w:afterLines="50" w:after="156"/>
              <w:jc w:val="both"/>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图</w:t>
            </w:r>
            <w:r>
              <w:rPr>
                <w:rFonts w:ascii="Times New Roman" w:hAnsi="Times New Roman" w:cs="Times New Roman"/>
                <w:noProof/>
                <w:color w:val="000000"/>
                <w:sz w:val="24"/>
                <w:szCs w:val="24"/>
              </w:rPr>
              <w:t>1</w:t>
            </w:r>
            <w:r>
              <w:rPr>
                <w:rFonts w:ascii="Times New Roman" w:hAnsi="Times New Roman" w:cs="Times New Roman" w:hint="eastAsia"/>
                <w:noProof/>
                <w:color w:val="000000"/>
                <w:sz w:val="24"/>
                <w:szCs w:val="24"/>
              </w:rPr>
              <w:t>：</w:t>
            </w:r>
            <w:r>
              <w:rPr>
                <w:rFonts w:ascii="Times New Roman" w:hAnsi="Times New Roman" w:cs="Times New Roman"/>
                <w:noProof/>
                <w:color w:val="000000"/>
                <w:sz w:val="24"/>
                <w:szCs w:val="24"/>
              </w:rPr>
              <w:t xml:space="preserve"> </w:t>
            </w:r>
            <w:r>
              <w:rPr>
                <w:rFonts w:ascii="Times New Roman" w:hAnsi="Times New Roman" w:cs="Times New Roman" w:hint="eastAsia"/>
                <w:noProof/>
                <w:color w:val="000000"/>
                <w:sz w:val="24"/>
                <w:szCs w:val="24"/>
              </w:rPr>
              <w:t>晚期非黑色素患者接受本品治疗后的临床试验结果</w:t>
            </w:r>
          </w:p>
          <w:p w14:paraId="0F1F2E24" w14:textId="77777777" w:rsidR="00746260" w:rsidRDefault="00746260" w:rsidP="0097719D">
            <w:pPr>
              <w:shd w:val="clear" w:color="auto" w:fill="FFFFFF"/>
              <w:tabs>
                <w:tab w:val="left" w:pos="800"/>
              </w:tabs>
              <w:autoSpaceDE/>
              <w:snapToGrid w:val="0"/>
              <w:spacing w:beforeLines="50" w:before="156" w:afterLines="50" w:after="156"/>
              <w:jc w:val="cente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前</w:t>
            </w:r>
            <w:r>
              <w:rPr>
                <w:rFonts w:ascii="Times New Roman" w:hAnsi="Times New Roman" w:cs="Times New Roman"/>
                <w:noProof/>
                <w:color w:val="000000"/>
                <w:sz w:val="24"/>
                <w:szCs w:val="24"/>
              </w:rPr>
              <w:drawing>
                <wp:inline distT="0" distB="0" distL="0" distR="0" wp14:anchorId="023FEA30" wp14:editId="6907F05A">
                  <wp:extent cx="984250" cy="946150"/>
                  <wp:effectExtent l="0" t="0" r="635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250" cy="946150"/>
                          </a:xfrm>
                          <a:prstGeom prst="rect">
                            <a:avLst/>
                          </a:prstGeom>
                          <a:noFill/>
                          <a:ln>
                            <a:noFill/>
                          </a:ln>
                        </pic:spPr>
                      </pic:pic>
                    </a:graphicData>
                  </a:graphic>
                </wp:inline>
              </w:drawing>
            </w: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drawing>
                <wp:inline distT="0" distB="0" distL="0" distR="0" wp14:anchorId="709CA062" wp14:editId="43C1D1D4">
                  <wp:extent cx="1022350" cy="971550"/>
                  <wp:effectExtent l="0" t="0" r="635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0" cy="971550"/>
                          </a:xfrm>
                          <a:prstGeom prst="rect">
                            <a:avLst/>
                          </a:prstGeom>
                          <a:noFill/>
                          <a:ln>
                            <a:noFill/>
                          </a:ln>
                        </pic:spPr>
                      </pic:pic>
                    </a:graphicData>
                  </a:graphic>
                </wp:inline>
              </w:drawing>
            </w:r>
          </w:p>
          <w:p w14:paraId="3A39CDBB" w14:textId="77777777" w:rsidR="00746260" w:rsidRDefault="00746260" w:rsidP="0097719D">
            <w:pPr>
              <w:shd w:val="clear" w:color="auto" w:fill="FFFFFF"/>
              <w:tabs>
                <w:tab w:val="left" w:pos="800"/>
                <w:tab w:val="left" w:pos="2830"/>
                <w:tab w:val="center" w:pos="4819"/>
              </w:tabs>
              <w:autoSpaceDE/>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noProof/>
                <w:color w:val="000000"/>
                <w:sz w:val="24"/>
                <w:szCs w:val="24"/>
              </w:rPr>
              <w:lastRenderedPageBreak/>
              <w:tab/>
            </w:r>
            <w:r>
              <w:rPr>
                <w:rFonts w:ascii="Times New Roman" w:hAnsi="Times New Roman" w:cs="Times New Roman"/>
                <w:noProof/>
                <w:color w:val="000000"/>
                <w:sz w:val="24"/>
                <w:szCs w:val="24"/>
              </w:rPr>
              <w:tab/>
            </w:r>
            <w:r>
              <w:rPr>
                <w:rFonts w:ascii="Times New Roman" w:hAnsi="Times New Roman" w:cs="Times New Roman" w:hint="eastAsia"/>
                <w:noProof/>
                <w:color w:val="000000"/>
                <w:sz w:val="24"/>
                <w:szCs w:val="24"/>
              </w:rPr>
              <w:t>后</w:t>
            </w: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ab/>
            </w:r>
            <w:r>
              <w:rPr>
                <w:rFonts w:ascii="Times New Roman" w:hAnsi="Times New Roman" w:cs="Times New Roman"/>
                <w:noProof/>
                <w:color w:val="000000"/>
                <w:sz w:val="24"/>
                <w:szCs w:val="24"/>
              </w:rPr>
              <w:drawing>
                <wp:inline distT="0" distB="0" distL="0" distR="0" wp14:anchorId="7D9B802A" wp14:editId="5190B668">
                  <wp:extent cx="984250" cy="933450"/>
                  <wp:effectExtent l="0" t="0" r="635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933450"/>
                          </a:xfrm>
                          <a:prstGeom prst="rect">
                            <a:avLst/>
                          </a:prstGeom>
                          <a:noFill/>
                          <a:ln>
                            <a:noFill/>
                          </a:ln>
                        </pic:spPr>
                      </pic:pic>
                    </a:graphicData>
                  </a:graphic>
                </wp:inline>
              </w:drawing>
            </w: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drawing>
                <wp:inline distT="0" distB="0" distL="0" distR="0" wp14:anchorId="37B28408" wp14:editId="567FEEFC">
                  <wp:extent cx="1022350" cy="933450"/>
                  <wp:effectExtent l="0" t="0" r="635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0" cy="933450"/>
                          </a:xfrm>
                          <a:prstGeom prst="rect">
                            <a:avLst/>
                          </a:prstGeom>
                          <a:noFill/>
                          <a:ln>
                            <a:noFill/>
                          </a:ln>
                        </pic:spPr>
                      </pic:pic>
                    </a:graphicData>
                  </a:graphic>
                </wp:inline>
              </w:drawing>
            </w:r>
          </w:p>
          <w:p w14:paraId="569650AE" w14:textId="77777777" w:rsidR="00746260" w:rsidRDefault="00746260" w:rsidP="0097719D">
            <w:pPr>
              <w:shd w:val="clear" w:color="auto" w:fill="FFFFFF"/>
              <w:tabs>
                <w:tab w:val="left" w:pos="800"/>
              </w:tabs>
              <w:autoSpaceDE/>
              <w:snapToGrid w:val="0"/>
              <w:spacing w:beforeLines="50" w:before="156" w:afterLines="50" w:after="156"/>
              <w:jc w:val="both"/>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图</w:t>
            </w:r>
            <w:r>
              <w:rPr>
                <w:rFonts w:ascii="Times New Roman" w:hAnsi="Times New Roman" w:cs="Times New Roman"/>
                <w:noProof/>
                <w:color w:val="000000"/>
                <w:sz w:val="24"/>
                <w:szCs w:val="24"/>
              </w:rPr>
              <w:t xml:space="preserve">2: </w:t>
            </w:r>
            <w:r>
              <w:rPr>
                <w:rFonts w:ascii="Times New Roman" w:hAnsi="Times New Roman" w:cs="Times New Roman" w:hint="eastAsia"/>
                <w:noProof/>
                <w:color w:val="000000"/>
                <w:sz w:val="24"/>
                <w:szCs w:val="24"/>
              </w:rPr>
              <w:t>在眼周使用本品，避免了外科重修手术，并使病人的个人形象免遭破坏。</w:t>
            </w:r>
          </w:p>
          <w:p w14:paraId="5FA20391" w14:textId="77777777" w:rsidR="00746260" w:rsidRDefault="00746260" w:rsidP="0097719D">
            <w:pPr>
              <w:rPr>
                <w:rFonts w:ascii="Calibri,Bold" w:hAnsi="Calibri,Bold" w:cs="Calibri,Bold"/>
                <w:b/>
                <w:bCs/>
              </w:rPr>
            </w:pPr>
            <w:r>
              <w:rPr>
                <w:rFonts w:ascii="Calibri,Bold" w:hAnsi="Calibri,Bold" w:cs="Calibri,Bold" w:hint="eastAsia"/>
                <w:b/>
                <w:bCs/>
              </w:rPr>
              <w:t>优势</w:t>
            </w:r>
          </w:p>
          <w:p w14:paraId="656FC224" w14:textId="77777777" w:rsidR="00746260" w:rsidRDefault="00746260" w:rsidP="0097719D">
            <w:pPr>
              <w:rPr>
                <w:rFonts w:ascii="Times New Roman" w:hAnsi="Times New Roman" w:cs="Times New Roman"/>
                <w:noProof/>
                <w:color w:val="000000"/>
                <w:sz w:val="24"/>
                <w:szCs w:val="24"/>
              </w:rPr>
            </w:pPr>
            <w:r>
              <w:rPr>
                <w:rFonts w:ascii="Symbol" w:hAnsi="Symbol" w:cs="Symbol"/>
              </w:rPr>
              <w:t></w:t>
            </w:r>
            <w:r>
              <w:rPr>
                <w:rFonts w:ascii="Symbol" w:hAnsi="Symbol" w:cs="Symbol"/>
              </w:rPr>
              <w:t></w:t>
            </w:r>
            <w:r>
              <w:rPr>
                <w:rFonts w:ascii="Times New Roman" w:hAnsi="Times New Roman" w:cs="Times New Roman" w:hint="eastAsia"/>
                <w:noProof/>
                <w:color w:val="000000"/>
                <w:sz w:val="24"/>
                <w:szCs w:val="24"/>
              </w:rPr>
              <w:t>与干扰素分开用药相比，应用本品治疗基底细胞癌和晚期复发性非黑色素皮肤瘤，无论是任何部位，任何类型和程度的基底细胞癌，可提高快速和延长的抗肿瘤应答，并具有极佳的安全性。</w:t>
            </w:r>
          </w:p>
          <w:p w14:paraId="0B77D192" w14:textId="77777777" w:rsidR="00746260" w:rsidRDefault="00746260"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hint="eastAsia"/>
                <w:noProof/>
                <w:color w:val="000000"/>
                <w:sz w:val="24"/>
                <w:szCs w:val="24"/>
              </w:rPr>
              <w:t>与干扰素分开用药相比，本品具有更强大的生物功效，可与长效干扰素的药效相比。</w:t>
            </w:r>
          </w:p>
          <w:p w14:paraId="0EAF9680" w14:textId="77777777" w:rsidR="00746260" w:rsidRDefault="00746260"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r>
              <w:rPr>
                <w:rFonts w:ascii="Times New Roman" w:hAnsi="Times New Roman" w:cs="Times New Roman" w:hint="eastAsia"/>
                <w:noProof/>
                <w:color w:val="000000"/>
                <w:sz w:val="24"/>
                <w:szCs w:val="24"/>
              </w:rPr>
              <w:t>本品可在术前应用，并可减小肿瘤的大小。术后应用可避免复杂。也可作为主要的非手术治疗手段，或用来治疗基底细胞癌。</w:t>
            </w:r>
          </w:p>
          <w:p w14:paraId="012D526B" w14:textId="77777777" w:rsidR="00746260" w:rsidRDefault="00746260"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w:t>
            </w:r>
            <w:r>
              <w:rPr>
                <w:rFonts w:ascii="Times New Roman" w:hAnsi="Times New Roman" w:cs="Times New Roman" w:hint="eastAsia"/>
                <w:noProof/>
                <w:color w:val="000000"/>
                <w:sz w:val="24"/>
                <w:szCs w:val="24"/>
              </w:rPr>
              <w:t>本品将晚期肾细胞癌患者的存活时间延长至</w:t>
            </w:r>
            <w:r>
              <w:rPr>
                <w:rFonts w:ascii="Times New Roman" w:hAnsi="Times New Roman" w:cs="Times New Roman"/>
                <w:noProof/>
                <w:color w:val="000000"/>
                <w:sz w:val="24"/>
                <w:szCs w:val="24"/>
              </w:rPr>
              <w:t>41</w:t>
            </w:r>
            <w:r>
              <w:rPr>
                <w:rFonts w:ascii="Times New Roman" w:hAnsi="Times New Roman" w:cs="Times New Roman" w:hint="eastAsia"/>
                <w:noProof/>
                <w:color w:val="000000"/>
                <w:sz w:val="24"/>
                <w:szCs w:val="24"/>
              </w:rPr>
              <w:t>个月。</w:t>
            </w:r>
          </w:p>
          <w:p w14:paraId="42BF82E6" w14:textId="77777777" w:rsidR="00746260" w:rsidRDefault="00746260"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w:t>
            </w:r>
            <w:r>
              <w:rPr>
                <w:rFonts w:ascii="Times New Roman" w:hAnsi="Times New Roman" w:cs="Times New Roman" w:hint="eastAsia"/>
                <w:noProof/>
                <w:color w:val="000000"/>
                <w:sz w:val="24"/>
                <w:szCs w:val="24"/>
              </w:rPr>
              <w:t>极好的保留个人形象</w:t>
            </w:r>
          </w:p>
          <w:p w14:paraId="480D9BF4" w14:textId="77777777" w:rsidR="00746260" w:rsidRDefault="00746260" w:rsidP="0097719D">
            <w:pPr>
              <w:shd w:val="clear" w:color="auto" w:fill="FFFFFF"/>
              <w:tabs>
                <w:tab w:val="left" w:pos="800"/>
              </w:tabs>
              <w:autoSpaceDE/>
              <w:snapToGrid w:val="0"/>
              <w:spacing w:beforeLines="50" w:before="156" w:afterLines="50" w:after="156"/>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t>
            </w:r>
            <w:r>
              <w:rPr>
                <w:rFonts w:ascii="Times New Roman" w:hAnsi="Times New Roman" w:cs="Times New Roman" w:hint="eastAsia"/>
                <w:noProof/>
                <w:color w:val="000000"/>
                <w:sz w:val="24"/>
                <w:szCs w:val="24"/>
              </w:rPr>
              <w:t>复发几率极低。</w:t>
            </w:r>
          </w:p>
        </w:tc>
      </w:tr>
      <w:tr w:rsidR="00746260" w14:paraId="348D62A8" w14:textId="77777777" w:rsidTr="0097719D">
        <w:tc>
          <w:tcPr>
            <w:tcW w:w="5000" w:type="pct"/>
            <w:tcBorders>
              <w:top w:val="nil"/>
              <w:left w:val="nil"/>
              <w:bottom w:val="single" w:sz="12" w:space="0" w:color="24A0D9"/>
              <w:right w:val="nil"/>
            </w:tcBorders>
            <w:shd w:val="clear" w:color="auto" w:fill="FFFFFF"/>
            <w:hideMark/>
          </w:tcPr>
          <w:p w14:paraId="163CC63A" w14:textId="77777777" w:rsidR="00746260" w:rsidRDefault="00746260" w:rsidP="0097719D">
            <w:pPr>
              <w:shd w:val="clear" w:color="auto" w:fill="FFFFFF"/>
              <w:tabs>
                <w:tab w:val="left" w:pos="800"/>
              </w:tabs>
              <w:autoSpaceDE/>
              <w:snapToGrid w:val="0"/>
              <w:spacing w:beforeLines="50" w:before="156" w:afterLines="50" w:after="156"/>
              <w:jc w:val="both"/>
              <w:rPr>
                <w:rFonts w:ascii="Times New Roman" w:hAnsi="Times New Roman" w:cs="Times New Roman"/>
                <w:szCs w:val="24"/>
              </w:rPr>
            </w:pPr>
            <w:r>
              <w:rPr>
                <w:rStyle w:val="tw4winMark"/>
                <w:rFonts w:ascii="Times New Roman" w:hAnsi="Times New Roman" w:cs="Times New Roman"/>
                <w:szCs w:val="24"/>
                <w:specVanish w:val="0"/>
              </w:rPr>
              <w:lastRenderedPageBreak/>
              <w:br/>
            </w:r>
            <w:r>
              <w:rPr>
                <w:rFonts w:ascii="Times New Roman" w:hAnsi="宋体" w:cs="Times New Roman" w:hint="eastAsia"/>
                <w:color w:val="000000"/>
                <w:sz w:val="24"/>
                <w:szCs w:val="24"/>
                <w:lang w:val="zh-CN"/>
              </w:rPr>
              <w:t>专利状况</w:t>
            </w:r>
          </w:p>
        </w:tc>
      </w:tr>
      <w:tr w:rsidR="00746260" w14:paraId="5E52A749" w14:textId="77777777" w:rsidTr="0097719D">
        <w:tc>
          <w:tcPr>
            <w:tcW w:w="5000" w:type="pct"/>
            <w:tcBorders>
              <w:top w:val="single" w:sz="12" w:space="0" w:color="24A0D9"/>
              <w:left w:val="nil"/>
              <w:bottom w:val="nil"/>
              <w:right w:val="nil"/>
            </w:tcBorders>
            <w:shd w:val="clear" w:color="auto" w:fill="FFFFFF"/>
            <w:hideMark/>
          </w:tcPr>
          <w:p w14:paraId="2F0E9ABA" w14:textId="77777777" w:rsidR="00746260" w:rsidRDefault="00746260" w:rsidP="0097719D">
            <w:pPr>
              <w:shd w:val="clear" w:color="auto" w:fill="FFFFFF"/>
              <w:tabs>
                <w:tab w:val="left" w:pos="800"/>
              </w:tabs>
              <w:autoSpaceDE/>
              <w:snapToGrid w:val="0"/>
              <w:spacing w:beforeLines="50" w:before="156" w:afterLines="50" w:after="156"/>
              <w:jc w:val="both"/>
              <w:rPr>
                <w:rFonts w:ascii="Times New Roman" w:hAnsi="Times New Roman" w:cs="Times New Roman"/>
                <w:noProof/>
                <w:color w:val="000000"/>
                <w:sz w:val="24"/>
                <w:szCs w:val="24"/>
                <w:lang w:val="pt-BR"/>
              </w:rPr>
            </w:pPr>
            <w:r>
              <w:rPr>
                <w:rFonts w:ascii="Times New Roman" w:hAnsi="Times New Roman" w:cs="Times New Roman" w:hint="eastAsia"/>
                <w:noProof/>
                <w:color w:val="000000"/>
                <w:sz w:val="24"/>
                <w:szCs w:val="24"/>
              </w:rPr>
              <w:t>本品配方稳定，含有干扰素</w:t>
            </w:r>
            <w:r>
              <w:rPr>
                <w:rFonts w:ascii="Times New Roman" w:hAnsi="Times New Roman" w:cs="Times New Roman"/>
                <w:color w:val="000000"/>
                <w:sz w:val="24"/>
                <w:szCs w:val="24"/>
                <w:lang w:val="zh-CN"/>
              </w:rPr>
              <w:t>α</w:t>
            </w:r>
            <w:r>
              <w:rPr>
                <w:rFonts w:ascii="Times New Roman" w:hAnsi="Times New Roman" w:cs="Times New Roman" w:hint="eastAsia"/>
                <w:color w:val="000000"/>
                <w:sz w:val="24"/>
                <w:szCs w:val="24"/>
                <w:lang w:val="zh-CN"/>
              </w:rPr>
              <w:t>和</w:t>
            </w:r>
            <w:r>
              <w:rPr>
                <w:rFonts w:ascii="Times New Roman" w:hAnsi="Times New Roman" w:cs="Times New Roman"/>
                <w:color w:val="000000"/>
                <w:sz w:val="24"/>
                <w:szCs w:val="24"/>
                <w:lang w:val="zh-CN"/>
              </w:rPr>
              <w:t>γ</w:t>
            </w:r>
            <w:r>
              <w:rPr>
                <w:rFonts w:ascii="Times New Roman" w:hAnsi="宋体" w:cs="Times New Roman" w:hint="eastAsia"/>
                <w:color w:val="000000"/>
                <w:sz w:val="24"/>
                <w:szCs w:val="24"/>
              </w:rPr>
              <w:t>，具有协同功效。</w:t>
            </w:r>
            <w:r>
              <w:rPr>
                <w:rFonts w:ascii="Times New Roman" w:hAnsi="Times New Roman" w:cs="Times New Roman"/>
                <w:noProof/>
                <w:color w:val="000000"/>
                <w:sz w:val="24"/>
                <w:szCs w:val="24"/>
              </w:rPr>
              <w:t xml:space="preserve">CU. 2005-0213. AR056586 (A1). PCT/CU2006/000011. AU2006310918. MX/a/2008/005863. EP1958643. USA </w:t>
            </w:r>
            <w:bookmarkStart w:id="3" w:name="OLE_LINK67"/>
            <w:bookmarkStart w:id="4" w:name="OLE_LINK68"/>
            <w:r>
              <w:rPr>
                <w:rFonts w:ascii="Times New Roman" w:hAnsi="Times New Roman" w:cs="Times New Roman"/>
                <w:noProof/>
                <w:color w:val="000000"/>
                <w:sz w:val="24"/>
                <w:szCs w:val="24"/>
              </w:rPr>
              <w:t xml:space="preserve">20090304628. JP2009513682 (T). CN101351219. </w:t>
            </w:r>
            <w:r>
              <w:rPr>
                <w:rFonts w:ascii="Times New Roman" w:hAnsi="宋体" w:cs="Times New Roman" w:hint="eastAsia"/>
                <w:color w:val="000000"/>
                <w:sz w:val="24"/>
                <w:szCs w:val="24"/>
                <w:lang w:val="zh-CN"/>
              </w:rPr>
              <w:t>已在古巴、美国、加拿大、日本、澳大利亚、俄罗斯、韩国、南非和墨西哥获得专利权。已在中国和欧洲申请。</w:t>
            </w:r>
            <w:bookmarkEnd w:id="3"/>
            <w:bookmarkEnd w:id="4"/>
          </w:p>
        </w:tc>
      </w:tr>
      <w:tr w:rsidR="00746260" w14:paraId="6E4BB144" w14:textId="77777777" w:rsidTr="0097719D">
        <w:tc>
          <w:tcPr>
            <w:tcW w:w="5000" w:type="pct"/>
            <w:tcBorders>
              <w:top w:val="nil"/>
              <w:left w:val="nil"/>
              <w:bottom w:val="single" w:sz="12" w:space="0" w:color="24A0D9"/>
              <w:right w:val="nil"/>
            </w:tcBorders>
            <w:shd w:val="clear" w:color="auto" w:fill="FFFFFF"/>
            <w:hideMark/>
          </w:tcPr>
          <w:p w14:paraId="23E893EE"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hint="eastAsia"/>
                <w:color w:val="000000"/>
                <w:sz w:val="24"/>
                <w:szCs w:val="24"/>
                <w:lang w:val="zh-CN"/>
              </w:rPr>
              <w:t>发表的学术论文</w:t>
            </w:r>
          </w:p>
          <w:p w14:paraId="2C7FE755" w14:textId="77777777" w:rsidR="00746260" w:rsidRDefault="00746260" w:rsidP="0097719D">
            <w:pPr>
              <w:rPr>
                <w:rFonts w:ascii="Times New Roman" w:hAnsi="宋体" w:cs="Times New Roman"/>
                <w:color w:val="000000"/>
                <w:sz w:val="24"/>
                <w:szCs w:val="24"/>
                <w:lang w:val="zh-CN"/>
              </w:rPr>
            </w:pPr>
            <w:r>
              <w:rPr>
                <w:rFonts w:ascii="Symbol" w:hAnsi="Symbol" w:cs="Symbol"/>
              </w:rPr>
              <w:t></w:t>
            </w:r>
            <w:r>
              <w:rPr>
                <w:rFonts w:ascii="Symbol" w:hAnsi="Symbol" w:cs="Symbol"/>
              </w:rPr>
              <w:t></w:t>
            </w:r>
            <w:r>
              <w:rPr>
                <w:rFonts w:ascii="Calibri" w:hAnsi="Calibri" w:cs="Calibri"/>
                <w:lang w:val="pt-BR"/>
              </w:rPr>
              <w:t xml:space="preserve">5. Claudia </w:t>
            </w:r>
            <w:proofErr w:type="spellStart"/>
            <w:r>
              <w:rPr>
                <w:rFonts w:ascii="Calibri" w:hAnsi="Calibri" w:cs="Calibri"/>
                <w:lang w:val="pt-BR"/>
              </w:rPr>
              <w:t>Bello</w:t>
            </w:r>
            <w:proofErr w:type="spellEnd"/>
            <w:r>
              <w:rPr>
                <w:rFonts w:ascii="Calibri" w:hAnsi="Calibri" w:cs="Calibri"/>
                <w:lang w:val="pt-BR"/>
              </w:rPr>
              <w:t xml:space="preserve">, </w:t>
            </w:r>
            <w:proofErr w:type="spellStart"/>
            <w:r>
              <w:rPr>
                <w:rFonts w:ascii="Calibri" w:hAnsi="Calibri" w:cs="Calibri"/>
                <w:lang w:val="pt-BR"/>
              </w:rPr>
              <w:t>Dania</w:t>
            </w:r>
            <w:proofErr w:type="spellEnd"/>
            <w:r>
              <w:rPr>
                <w:rFonts w:ascii="Calibri" w:hAnsi="Calibri" w:cs="Calibri"/>
                <w:lang w:val="pt-BR"/>
              </w:rPr>
              <w:t xml:space="preserve"> </w:t>
            </w:r>
            <w:proofErr w:type="spellStart"/>
            <w:r>
              <w:rPr>
                <w:rFonts w:ascii="Calibri" w:hAnsi="Calibri" w:cs="Calibri"/>
                <w:lang w:val="pt-BR"/>
              </w:rPr>
              <w:t>Vázquez-Blomquist</w:t>
            </w:r>
            <w:proofErr w:type="spellEnd"/>
            <w:r>
              <w:rPr>
                <w:rFonts w:ascii="Calibri" w:hAnsi="Calibri" w:cs="Calibri"/>
                <w:lang w:val="pt-BR"/>
              </w:rPr>
              <w:t xml:space="preserve">, </w:t>
            </w:r>
            <w:proofErr w:type="spellStart"/>
            <w:r>
              <w:rPr>
                <w:rFonts w:ascii="Calibri" w:hAnsi="Calibri" w:cs="Calibri"/>
                <w:lang w:val="pt-BR"/>
              </w:rPr>
              <w:t>Jamilet</w:t>
            </w:r>
            <w:proofErr w:type="spellEnd"/>
            <w:r>
              <w:rPr>
                <w:rFonts w:ascii="Calibri" w:hAnsi="Calibri" w:cs="Calibri"/>
                <w:lang w:val="pt-BR"/>
              </w:rPr>
              <w:t xml:space="preserve"> Miranda y col. </w:t>
            </w:r>
          </w:p>
          <w:p w14:paraId="41DA6180"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color w:val="000000"/>
                <w:sz w:val="24"/>
                <w:szCs w:val="24"/>
                <w:lang w:val="zh-CN"/>
              </w:rPr>
              <w:t xml:space="preserve">U87MG </w:t>
            </w:r>
            <w:r>
              <w:rPr>
                <w:rFonts w:ascii="Times New Roman" w:hAnsi="宋体" w:cs="Times New Roman" w:hint="eastAsia"/>
                <w:color w:val="000000"/>
                <w:sz w:val="24"/>
                <w:szCs w:val="24"/>
                <w:lang w:val="zh-CN"/>
              </w:rPr>
              <w:t>干扰素</w:t>
            </w:r>
            <w:r>
              <w:rPr>
                <w:rFonts w:ascii="Times New Roman" w:hAnsi="宋体" w:cs="Times New Roman"/>
                <w:color w:val="000000"/>
                <w:sz w:val="24"/>
                <w:szCs w:val="24"/>
                <w:lang w:val="zh-CN"/>
              </w:rPr>
              <w:t>-STAT-</w:t>
            </w:r>
            <w:r>
              <w:rPr>
                <w:rFonts w:ascii="Times New Roman" w:hAnsi="宋体" w:cs="Times New Roman" w:hint="eastAsia"/>
                <w:color w:val="000000"/>
                <w:sz w:val="24"/>
                <w:szCs w:val="24"/>
                <w:lang w:val="zh-CN"/>
              </w:rPr>
              <w:t>细胞凋亡及路径涉及基因</w:t>
            </w:r>
          </w:p>
          <w:p w14:paraId="71DB391F"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hint="eastAsia"/>
                <w:color w:val="000000"/>
                <w:sz w:val="24"/>
                <w:szCs w:val="24"/>
                <w:lang w:val="zh-CN"/>
              </w:rPr>
              <w:t>由干扰素</w:t>
            </w:r>
            <w:r>
              <w:rPr>
                <w:rFonts w:ascii="Times New Roman" w:hAnsi="宋体" w:cs="Times New Roman"/>
                <w:color w:val="000000"/>
                <w:sz w:val="24"/>
                <w:szCs w:val="24"/>
                <w:lang w:val="zh-CN"/>
              </w:rPr>
              <w:t>-</w:t>
            </w:r>
            <w:r>
              <w:rPr>
                <w:rFonts w:ascii="Times New Roman" w:hAnsi="宋体" w:cs="Times New Roman" w:hint="eastAsia"/>
                <w:color w:val="000000"/>
                <w:sz w:val="24"/>
                <w:szCs w:val="24"/>
                <w:lang w:val="zh-CN"/>
              </w:rPr>
              <w:t>α</w:t>
            </w:r>
            <w:r>
              <w:rPr>
                <w:rFonts w:ascii="Times New Roman" w:hAnsi="宋体" w:cs="Times New Roman"/>
                <w:color w:val="000000"/>
                <w:sz w:val="24"/>
                <w:szCs w:val="24"/>
                <w:lang w:val="zh-CN"/>
              </w:rPr>
              <w:t>/</w:t>
            </w:r>
            <w:r>
              <w:rPr>
                <w:rFonts w:ascii="Times New Roman" w:hAnsi="宋体" w:cs="Times New Roman" w:hint="eastAsia"/>
                <w:color w:val="000000"/>
                <w:sz w:val="24"/>
                <w:szCs w:val="24"/>
                <w:lang w:val="zh-CN"/>
              </w:rPr>
              <w:t>干扰素</w:t>
            </w:r>
            <w:r>
              <w:rPr>
                <w:rFonts w:ascii="Times New Roman" w:hAnsi="宋体" w:cs="Times New Roman"/>
                <w:color w:val="000000"/>
                <w:sz w:val="24"/>
                <w:szCs w:val="24"/>
                <w:lang w:val="zh-CN"/>
              </w:rPr>
              <w:t>-</w:t>
            </w:r>
            <w:r>
              <w:rPr>
                <w:rFonts w:ascii="Times New Roman" w:hAnsi="宋体" w:cs="Times New Roman" w:hint="eastAsia"/>
                <w:color w:val="000000"/>
                <w:sz w:val="24"/>
                <w:szCs w:val="24"/>
                <w:lang w:val="zh-CN"/>
              </w:rPr>
              <w:t>γ联合制剂调节的</w:t>
            </w:r>
            <w:r>
              <w:rPr>
                <w:rFonts w:ascii="Times New Roman" w:hAnsi="宋体" w:cs="Times New Roman"/>
                <w:color w:val="000000"/>
                <w:sz w:val="24"/>
                <w:szCs w:val="24"/>
                <w:lang w:val="zh-CN"/>
              </w:rPr>
              <w:t>(HerberPAG</w:t>
            </w:r>
            <w:r>
              <w:rPr>
                <w:rFonts w:ascii="Times New Roman" w:hAnsi="宋体" w:cs="Times New Roman" w:hint="eastAsia"/>
                <w:color w:val="000000"/>
                <w:sz w:val="24"/>
                <w:szCs w:val="24"/>
                <w:lang w:val="zh-CN"/>
              </w:rPr>
              <w:t>®</w:t>
            </w:r>
            <w:r>
              <w:rPr>
                <w:rFonts w:ascii="Times New Roman" w:hAnsi="宋体" w:cs="Times New Roman"/>
                <w:color w:val="000000"/>
                <w:sz w:val="24"/>
                <w:szCs w:val="24"/>
                <w:lang w:val="zh-CN"/>
              </w:rPr>
              <w:t>)</w:t>
            </w:r>
            <w:r>
              <w:rPr>
                <w:rFonts w:ascii="Times New Roman" w:hAnsi="宋体" w:cs="Times New Roman" w:hint="eastAsia"/>
                <w:color w:val="000000"/>
                <w:sz w:val="24"/>
                <w:szCs w:val="24"/>
                <w:lang w:val="zh-CN"/>
              </w:rPr>
              <w:t>规定</w:t>
            </w:r>
          </w:p>
          <w:p w14:paraId="022B615D"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hint="eastAsia"/>
                <w:color w:val="000000"/>
                <w:sz w:val="24"/>
                <w:szCs w:val="24"/>
                <w:lang w:val="zh-CN"/>
              </w:rPr>
              <w:t>医药化学现有话题</w:t>
            </w:r>
            <w:r>
              <w:rPr>
                <w:rFonts w:ascii="Times New Roman" w:hAnsi="宋体" w:cs="Times New Roman"/>
                <w:color w:val="000000"/>
                <w:sz w:val="24"/>
                <w:szCs w:val="24"/>
                <w:lang w:val="zh-CN"/>
              </w:rPr>
              <w:t>2014, 14, 351-358.</w:t>
            </w:r>
          </w:p>
          <w:p w14:paraId="5542CD14"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hint="eastAsia"/>
                <w:color w:val="000000"/>
                <w:sz w:val="24"/>
                <w:szCs w:val="24"/>
                <w:lang w:val="zh-CN"/>
              </w:rPr>
              <w:t></w:t>
            </w:r>
            <w:r>
              <w:rPr>
                <w:rFonts w:ascii="Times New Roman" w:hAnsi="宋体" w:cs="Times New Roman" w:hint="eastAsia"/>
                <w:color w:val="000000"/>
                <w:sz w:val="24"/>
                <w:szCs w:val="24"/>
                <w:lang w:val="zh-CN"/>
              </w:rPr>
              <w:t></w:t>
            </w:r>
            <w:r>
              <w:rPr>
                <w:rFonts w:ascii="Times New Roman" w:hAnsi="宋体" w:cs="Times New Roman"/>
                <w:color w:val="000000"/>
                <w:sz w:val="24"/>
                <w:szCs w:val="24"/>
                <w:lang w:val="zh-CN"/>
              </w:rPr>
              <w:t>Dra. Yanisel Jim</w:t>
            </w:r>
            <w:r>
              <w:rPr>
                <w:rFonts w:ascii="Times New Roman" w:hAnsi="宋体" w:cs="Times New Roman" w:hint="eastAsia"/>
                <w:color w:val="000000"/>
                <w:sz w:val="24"/>
                <w:szCs w:val="24"/>
                <w:lang w:val="zh-CN"/>
              </w:rPr>
              <w:t>é</w:t>
            </w:r>
            <w:r>
              <w:rPr>
                <w:rFonts w:ascii="Times New Roman" w:hAnsi="宋体" w:cs="Times New Roman"/>
                <w:color w:val="000000"/>
                <w:sz w:val="24"/>
                <w:szCs w:val="24"/>
                <w:lang w:val="zh-CN"/>
              </w:rPr>
              <w:t>nez Barb</w:t>
            </w:r>
            <w:r>
              <w:rPr>
                <w:rFonts w:ascii="Times New Roman" w:hAnsi="宋体" w:cs="Times New Roman" w:hint="eastAsia"/>
                <w:color w:val="000000"/>
                <w:sz w:val="24"/>
                <w:szCs w:val="24"/>
                <w:lang w:val="zh-CN"/>
              </w:rPr>
              <w:t>á</w:t>
            </w:r>
            <w:r>
              <w:rPr>
                <w:rFonts w:ascii="Times New Roman" w:hAnsi="宋体" w:cs="Times New Roman"/>
                <w:color w:val="000000"/>
                <w:sz w:val="24"/>
                <w:szCs w:val="24"/>
                <w:lang w:val="zh-CN"/>
              </w:rPr>
              <w:t>n, Dra. Caridad Vega Pupo, Dra. Dayam</w:t>
            </w:r>
            <w:r>
              <w:rPr>
                <w:rFonts w:ascii="Times New Roman" w:hAnsi="宋体" w:cs="Times New Roman" w:hint="eastAsia"/>
                <w:color w:val="000000"/>
                <w:sz w:val="24"/>
                <w:szCs w:val="24"/>
                <w:lang w:val="zh-CN"/>
              </w:rPr>
              <w:t>í</w:t>
            </w:r>
            <w:r>
              <w:rPr>
                <w:rFonts w:ascii="Times New Roman" w:hAnsi="宋体" w:cs="Times New Roman"/>
                <w:color w:val="000000"/>
                <w:sz w:val="24"/>
                <w:szCs w:val="24"/>
                <w:lang w:val="zh-CN"/>
              </w:rPr>
              <w:t xml:space="preserve"> Vila Pinillo, Iraldo Bello Rivero, y col. Uso de HeberPAG en carcinoma basocelular periocular.</w:t>
            </w:r>
          </w:p>
          <w:p w14:paraId="7EC25D1E"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color w:val="000000"/>
                <w:sz w:val="24"/>
                <w:szCs w:val="24"/>
                <w:lang w:val="zh-CN"/>
              </w:rPr>
              <w:t>Revista Cubana de oftalmologia. Vol. 27, n</w:t>
            </w:r>
            <w:r>
              <w:rPr>
                <w:rFonts w:ascii="Times New Roman" w:hAnsi="宋体" w:cs="Times New Roman" w:hint="eastAsia"/>
                <w:color w:val="000000"/>
                <w:sz w:val="24"/>
                <w:szCs w:val="24"/>
                <w:lang w:val="zh-CN"/>
              </w:rPr>
              <w:t>ú</w:t>
            </w:r>
            <w:r>
              <w:rPr>
                <w:rFonts w:ascii="Times New Roman" w:hAnsi="宋体" w:cs="Times New Roman"/>
                <w:color w:val="000000"/>
                <w:sz w:val="24"/>
                <w:szCs w:val="24"/>
                <w:lang w:val="zh-CN"/>
              </w:rPr>
              <w:t xml:space="preserve">m. 3 (2014). </w:t>
            </w:r>
          </w:p>
          <w:p w14:paraId="017B4B7A"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color w:val="000000"/>
                <w:sz w:val="24"/>
                <w:szCs w:val="24"/>
                <w:lang w:val="zh-CN"/>
              </w:rPr>
              <w:t xml:space="preserve">periocular basocellular carcinoma </w:t>
            </w:r>
            <w:r>
              <w:rPr>
                <w:rFonts w:ascii="Times New Roman" w:hAnsi="宋体" w:cs="Times New Roman" w:hint="eastAsia"/>
                <w:color w:val="000000"/>
                <w:sz w:val="24"/>
                <w:szCs w:val="24"/>
                <w:lang w:val="zh-CN"/>
              </w:rPr>
              <w:t>中使用</w:t>
            </w:r>
            <w:r>
              <w:rPr>
                <w:rFonts w:ascii="Times New Roman" w:hAnsi="宋体" w:cs="Times New Roman"/>
                <w:color w:val="000000"/>
                <w:sz w:val="24"/>
                <w:szCs w:val="24"/>
                <w:lang w:val="zh-CN"/>
              </w:rPr>
              <w:t>heberPAG:</w:t>
            </w:r>
            <w:r>
              <w:rPr>
                <w:rFonts w:ascii="Times New Roman" w:hAnsi="宋体" w:cs="Times New Roman" w:hint="eastAsia"/>
                <w:color w:val="000000"/>
                <w:sz w:val="24"/>
                <w:szCs w:val="24"/>
                <w:lang w:val="zh-CN"/>
              </w:rPr>
              <w:t>案例研究</w:t>
            </w:r>
          </w:p>
          <w:p w14:paraId="720B394B"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hint="eastAsia"/>
                <w:color w:val="000000"/>
                <w:sz w:val="24"/>
                <w:szCs w:val="24"/>
                <w:lang w:val="zh-CN"/>
              </w:rPr>
              <w:t></w:t>
            </w:r>
            <w:r>
              <w:rPr>
                <w:rFonts w:ascii="Times New Roman" w:hAnsi="宋体" w:cs="Times New Roman" w:hint="eastAsia"/>
                <w:color w:val="000000"/>
                <w:sz w:val="24"/>
                <w:szCs w:val="24"/>
                <w:lang w:val="zh-CN"/>
              </w:rPr>
              <w:t></w:t>
            </w:r>
            <w:r>
              <w:rPr>
                <w:rFonts w:ascii="Times New Roman" w:hAnsi="宋体" w:cs="Times New Roman"/>
                <w:color w:val="000000"/>
                <w:sz w:val="24"/>
                <w:szCs w:val="24"/>
                <w:lang w:val="zh-CN"/>
              </w:rPr>
              <w:t>Garcia-Vega Yanelda, Anasagasti-Angulo Lorenzo, Valenzuela-Silva Carmen, Navarro-Mestre Marianlie,</w:t>
            </w:r>
          </w:p>
          <w:p w14:paraId="33A1F85F"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color w:val="000000"/>
                <w:sz w:val="24"/>
                <w:szCs w:val="24"/>
                <w:lang w:val="zh-CN"/>
              </w:rPr>
              <w:t>Maribeth-Ordo</w:t>
            </w:r>
            <w:r>
              <w:rPr>
                <w:rFonts w:ascii="Times New Roman" w:hAnsi="宋体" w:cs="Times New Roman" w:hint="eastAsia"/>
                <w:color w:val="000000"/>
                <w:sz w:val="24"/>
                <w:szCs w:val="24"/>
                <w:lang w:val="zh-CN"/>
              </w:rPr>
              <w:t>ñ</w:t>
            </w:r>
            <w:r>
              <w:rPr>
                <w:rFonts w:ascii="Times New Roman" w:hAnsi="宋体" w:cs="Times New Roman"/>
                <w:color w:val="000000"/>
                <w:sz w:val="24"/>
                <w:szCs w:val="24"/>
                <w:lang w:val="zh-CN"/>
              </w:rPr>
              <w:t xml:space="preserve">ez Sintia, Bello-Rivero Iraldo and col. (2015) </w:t>
            </w:r>
          </w:p>
          <w:p w14:paraId="67C218C5"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hint="eastAsia"/>
                <w:color w:val="000000"/>
                <w:sz w:val="24"/>
                <w:szCs w:val="24"/>
                <w:lang w:val="zh-CN"/>
              </w:rPr>
              <w:t>眼周非黑素瘤细胞性皮肤肿瘤回顾性研究；联合使用干扰素</w:t>
            </w:r>
            <w:r>
              <w:rPr>
                <w:rFonts w:ascii="Times New Roman" w:hAnsi="宋体" w:cs="Times New Roman"/>
                <w:color w:val="000000"/>
                <w:sz w:val="24"/>
                <w:szCs w:val="24"/>
                <w:lang w:val="zh-CN"/>
              </w:rPr>
              <w:t xml:space="preserve">alpha2b </w:t>
            </w:r>
            <w:r>
              <w:rPr>
                <w:rFonts w:ascii="Times New Roman" w:hAnsi="宋体" w:cs="Times New Roman" w:hint="eastAsia"/>
                <w:color w:val="000000"/>
                <w:sz w:val="24"/>
                <w:szCs w:val="24"/>
                <w:lang w:val="zh-CN"/>
              </w:rPr>
              <w:t>和</w:t>
            </w:r>
            <w:r>
              <w:rPr>
                <w:rFonts w:ascii="Times New Roman" w:hAnsi="宋体" w:cs="Times New Roman"/>
                <w:color w:val="000000"/>
                <w:sz w:val="24"/>
                <w:szCs w:val="24"/>
                <w:lang w:val="zh-CN"/>
              </w:rPr>
              <w:t>Gamma (HeberPAG)</w:t>
            </w:r>
            <w:r>
              <w:rPr>
                <w:rFonts w:ascii="Times New Roman" w:hAnsi="宋体" w:cs="Times New Roman" w:hint="eastAsia"/>
                <w:color w:val="000000"/>
                <w:sz w:val="24"/>
                <w:szCs w:val="24"/>
                <w:lang w:val="zh-CN"/>
              </w:rPr>
              <w:t>治疗</w:t>
            </w:r>
          </w:p>
          <w:p w14:paraId="1C3D299E"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color w:val="000000"/>
                <w:sz w:val="24"/>
                <w:szCs w:val="24"/>
                <w:lang w:val="zh-CN"/>
              </w:rPr>
              <w:t>J Clin ExpOphthalmol 6: 478. doi:10.4172/2155-9570.1000478.</w:t>
            </w:r>
          </w:p>
          <w:p w14:paraId="71724306"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hint="eastAsia"/>
                <w:color w:val="000000"/>
                <w:sz w:val="24"/>
                <w:szCs w:val="24"/>
                <w:lang w:val="zh-CN"/>
              </w:rPr>
              <w:t></w:t>
            </w:r>
            <w:r>
              <w:rPr>
                <w:rFonts w:ascii="Times New Roman" w:hAnsi="宋体" w:cs="Times New Roman" w:hint="eastAsia"/>
                <w:color w:val="000000"/>
                <w:sz w:val="24"/>
                <w:szCs w:val="24"/>
                <w:lang w:val="zh-CN"/>
              </w:rPr>
              <w:t></w:t>
            </w:r>
            <w:r>
              <w:rPr>
                <w:rFonts w:ascii="Times New Roman" w:hAnsi="宋体" w:cs="Times New Roman"/>
                <w:color w:val="000000"/>
                <w:sz w:val="24"/>
                <w:szCs w:val="24"/>
                <w:lang w:val="zh-CN"/>
              </w:rPr>
              <w:t>Garcia-Vega Y Salva-Cama</w:t>
            </w:r>
            <w:r>
              <w:rPr>
                <w:rFonts w:ascii="Times New Roman" w:hAnsi="宋体" w:cs="Times New Roman" w:hint="eastAsia"/>
                <w:color w:val="000000"/>
                <w:sz w:val="24"/>
                <w:szCs w:val="24"/>
                <w:lang w:val="zh-CN"/>
              </w:rPr>
              <w:t>ñ</w:t>
            </w:r>
            <w:r>
              <w:rPr>
                <w:rFonts w:ascii="Times New Roman" w:hAnsi="宋体" w:cs="Times New Roman"/>
                <w:color w:val="000000"/>
                <w:sz w:val="24"/>
                <w:szCs w:val="24"/>
                <w:lang w:val="zh-CN"/>
              </w:rPr>
              <w:t>o Silvia, Garc</w:t>
            </w:r>
            <w:r>
              <w:rPr>
                <w:rFonts w:ascii="Times New Roman" w:hAnsi="宋体" w:cs="Times New Roman" w:hint="eastAsia"/>
                <w:color w:val="000000"/>
                <w:sz w:val="24"/>
                <w:szCs w:val="24"/>
                <w:lang w:val="zh-CN"/>
              </w:rPr>
              <w:t>í</w:t>
            </w:r>
            <w:r>
              <w:rPr>
                <w:rFonts w:ascii="Times New Roman" w:hAnsi="宋体" w:cs="Times New Roman"/>
                <w:color w:val="000000"/>
                <w:sz w:val="24"/>
                <w:szCs w:val="24"/>
                <w:lang w:val="zh-CN"/>
              </w:rPr>
              <w:t xml:space="preserve">a-Iglesias Elizeth, Bello-Rivero Iraldo and et al. CIGB-128, </w:t>
            </w:r>
          </w:p>
          <w:p w14:paraId="478238F6" w14:textId="77777777" w:rsidR="00746260" w:rsidRDefault="00746260" w:rsidP="0097719D">
            <w:pPr>
              <w:rPr>
                <w:rFonts w:ascii="Times New Roman" w:hAnsi="宋体" w:cs="Times New Roman"/>
                <w:color w:val="000000"/>
                <w:sz w:val="24"/>
                <w:szCs w:val="24"/>
                <w:lang w:val="zh-CN"/>
              </w:rPr>
            </w:pPr>
            <w:r>
              <w:rPr>
                <w:rFonts w:ascii="Times New Roman" w:hAnsi="宋体" w:cs="Times New Roman" w:hint="eastAsia"/>
                <w:color w:val="000000"/>
                <w:sz w:val="24"/>
                <w:szCs w:val="24"/>
                <w:lang w:val="zh-CN"/>
              </w:rPr>
              <w:t>不可操作或激进高度神经胶质瘤患者的同情颅内治疗</w:t>
            </w:r>
          </w:p>
          <w:p w14:paraId="69D011E7" w14:textId="77777777" w:rsidR="00746260" w:rsidRDefault="00746260" w:rsidP="0097719D">
            <w:pPr>
              <w:shd w:val="clear" w:color="auto" w:fill="FFFFFF"/>
              <w:tabs>
                <w:tab w:val="left" w:pos="800"/>
              </w:tabs>
              <w:autoSpaceDE/>
              <w:snapToGrid w:val="0"/>
              <w:spacing w:beforeLines="50" w:before="156" w:afterLines="50" w:after="156"/>
              <w:jc w:val="both"/>
              <w:rPr>
                <w:rFonts w:ascii="Times New Roman" w:hAnsi="Times New Roman" w:cs="Times New Roman"/>
                <w:szCs w:val="24"/>
              </w:rPr>
            </w:pPr>
            <w:r>
              <w:rPr>
                <w:rFonts w:ascii="Times New Roman" w:hAnsi="宋体" w:cs="Times New Roman"/>
                <w:color w:val="000000"/>
                <w:sz w:val="24"/>
                <w:szCs w:val="24"/>
                <w:lang w:val="zh-CN"/>
              </w:rPr>
              <w:t>J Cancer Res Ther 2015, 3(11):136-143.</w:t>
            </w:r>
          </w:p>
        </w:tc>
      </w:tr>
    </w:tbl>
    <w:p w14:paraId="7AAD76CA" w14:textId="77777777" w:rsidR="004C73CB" w:rsidRPr="00746260" w:rsidRDefault="004C73CB" w:rsidP="00746260">
      <w:bookmarkStart w:id="5" w:name="_GoBack"/>
      <w:bookmarkEnd w:id="5"/>
    </w:p>
    <w:sectPr w:rsidR="004C73CB" w:rsidRPr="00746260" w:rsidSect="00D534D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C705B"/>
    <w:multiLevelType w:val="hybridMultilevel"/>
    <w:tmpl w:val="A844EA6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D"/>
    <w:rsid w:val="004C73CB"/>
    <w:rsid w:val="00746260"/>
    <w:rsid w:val="00D534DD"/>
    <w:rsid w:val="00F9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22E9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6D"/>
    <w:pPr>
      <w:widowControl w:val="0"/>
      <w:autoSpaceDE w:val="0"/>
      <w:autoSpaceDN w:val="0"/>
      <w:adjustRightInd w:val="0"/>
    </w:pPr>
    <w:rPr>
      <w:rFonts w:ascii="Arial" w:eastAsia="宋体"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sid w:val="00F9486D"/>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image" Target="media/image4.emf"/><Relationship Id="rId9" Type="http://schemas.openxmlformats.org/officeDocument/2006/relationships/image" Target="media/image5.emf"/><Relationship Id="rId10"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1542</Characters>
  <Application>Microsoft Macintosh Word</Application>
  <DocSecurity>0</DocSecurity>
  <Lines>12</Lines>
  <Paragraphs>3</Paragraphs>
  <ScaleCrop>false</ScaleCrop>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2016-11-09T08:01:00Z</dcterms:created>
  <dcterms:modified xsi:type="dcterms:W3CDTF">2016-11-09T08:01:00Z</dcterms:modified>
</cp:coreProperties>
</file>