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98379" w14:textId="77777777" w:rsidR="00F9486D" w:rsidRDefault="00F9486D" w:rsidP="00F9486D">
      <w:pPr>
        <w:shd w:val="clear" w:color="auto" w:fill="20A0C6"/>
        <w:tabs>
          <w:tab w:val="left" w:pos="800"/>
        </w:tabs>
        <w:autoSpaceDE/>
        <w:snapToGrid w:val="0"/>
        <w:spacing w:beforeLines="50" w:before="156" w:afterLines="50" w:after="1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FFFF"/>
          <w:sz w:val="24"/>
          <w:szCs w:val="24"/>
        </w:rPr>
        <w:t xml:space="preserve">CIGB-500. </w:t>
      </w:r>
      <w:r>
        <w:rPr>
          <w:rFonts w:ascii="Times New Roman" w:hAnsi="宋体" w:cs="Times New Roman" w:hint="eastAsia"/>
          <w:b/>
          <w:color w:val="FFFFFF"/>
          <w:sz w:val="24"/>
          <w:szCs w:val="24"/>
          <w:lang w:val="zh-CN"/>
        </w:rPr>
        <w:t>有心脏细胞保护作用的肽</w:t>
      </w:r>
    </w:p>
    <w:p w14:paraId="62759B7C" w14:textId="77777777" w:rsidR="00F9486D" w:rsidRDefault="00F9486D" w:rsidP="00F9486D">
      <w:pPr>
        <w:shd w:val="clear" w:color="auto" w:fill="FFFFFF"/>
        <w:tabs>
          <w:tab w:val="left" w:pos="800"/>
        </w:tabs>
        <w:autoSpaceDE/>
        <w:snapToGrid w:val="0"/>
        <w:spacing w:beforeLines="50" w:before="156" w:afterLines="50" w:after="156"/>
        <w:jc w:val="both"/>
        <w:rPr>
          <w:rFonts w:ascii="Times New Roman" w:hAnsi="Times New Roman" w:cs="Times New Roman"/>
          <w:b/>
          <w:noProof/>
          <w:color w:val="0586C0"/>
          <w:sz w:val="24"/>
          <w:szCs w:val="24"/>
        </w:rPr>
      </w:pPr>
      <w:r>
        <w:rPr>
          <w:rFonts w:ascii="Times New Roman" w:hAnsi="Times New Roman" w:cs="Times New Roman" w:hint="eastAsia"/>
          <w:b/>
          <w:noProof/>
          <w:color w:val="0586C0"/>
          <w:sz w:val="24"/>
          <w:szCs w:val="24"/>
        </w:rPr>
        <w:t>基因工程与生物技术中心，古巴，哈瓦那</w:t>
      </w:r>
      <w:r>
        <w:rPr>
          <w:rStyle w:val="tw4winMark"/>
          <w:rFonts w:ascii="Times New Roman" w:hAnsi="Times New Roman" w:cs="Times New Roman"/>
          <w:szCs w:val="24"/>
          <w:specVanish w:val="0"/>
        </w:rPr>
        <w:br/>
      </w:r>
      <w:r>
        <w:rPr>
          <w:rFonts w:ascii="Times New Roman" w:hAnsi="宋体" w:cs="Times New Roman" w:hint="eastAsia"/>
          <w:b/>
          <w:color w:val="0586C0"/>
          <w:sz w:val="24"/>
          <w:szCs w:val="24"/>
          <w:lang w:val="zh-CN"/>
        </w:rPr>
        <w:t>治疗领域</w:t>
      </w:r>
      <w:r>
        <w:rPr>
          <w:rFonts w:ascii="Times New Roman" w:hAnsi="宋体" w:cs="Times New Roman" w:hint="eastAsia"/>
          <w:b/>
          <w:color w:val="0586C0"/>
          <w:sz w:val="24"/>
          <w:szCs w:val="24"/>
        </w:rPr>
        <w:t>：</w:t>
      </w:r>
      <w:r>
        <w:rPr>
          <w:rFonts w:ascii="Times New Roman" w:hAnsi="宋体" w:cs="Times New Roman" w:hint="eastAsia"/>
          <w:b/>
          <w:color w:val="0586C0"/>
          <w:sz w:val="24"/>
          <w:szCs w:val="24"/>
          <w:lang w:val="zh-CN"/>
        </w:rPr>
        <w:t>心脏病学</w:t>
      </w:r>
      <w:r>
        <w:rPr>
          <w:rFonts w:ascii="Times New Roman" w:hAnsi="Times New Roman" w:cs="Times New Roman"/>
          <w:b/>
          <w:color w:val="0586C0"/>
          <w:sz w:val="24"/>
          <w:szCs w:val="24"/>
        </w:rPr>
        <w:br/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300"/>
      </w:tblGrid>
      <w:tr w:rsidR="00F9486D" w14:paraId="6BA1665C" w14:textId="77777777" w:rsidTr="0097719D">
        <w:tc>
          <w:tcPr>
            <w:tcW w:w="5000" w:type="pct"/>
            <w:tcBorders>
              <w:top w:val="nil"/>
              <w:left w:val="nil"/>
              <w:bottom w:val="single" w:sz="12" w:space="0" w:color="24A0D9"/>
              <w:right w:val="nil"/>
            </w:tcBorders>
            <w:shd w:val="clear" w:color="auto" w:fill="FFFFFF"/>
            <w:hideMark/>
          </w:tcPr>
          <w:p w14:paraId="54DADEC7" w14:textId="77777777" w:rsidR="00F9486D" w:rsidRDefault="00F9486D" w:rsidP="0097719D">
            <w:pPr>
              <w:shd w:val="clear" w:color="auto" w:fill="FFFFFF"/>
              <w:tabs>
                <w:tab w:val="left" w:pos="800"/>
              </w:tabs>
              <w:autoSpaceDE/>
              <w:snapToGrid w:val="0"/>
              <w:spacing w:beforeLines="50" w:before="156" w:afterLines="50" w:after="15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  <w:lang w:val="zh-CN"/>
              </w:rPr>
              <w:t>目标</w:t>
            </w:r>
          </w:p>
        </w:tc>
      </w:tr>
      <w:tr w:rsidR="00F9486D" w14:paraId="3D00FD03" w14:textId="77777777" w:rsidTr="0097719D">
        <w:tc>
          <w:tcPr>
            <w:tcW w:w="5000" w:type="pct"/>
            <w:tcBorders>
              <w:top w:val="single" w:sz="12" w:space="0" w:color="24A0D9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9E0D11B" w14:textId="77777777" w:rsidR="00F9486D" w:rsidRDefault="00F9486D" w:rsidP="0097719D">
            <w:pPr>
              <w:shd w:val="clear" w:color="auto" w:fill="FFFFFF"/>
              <w:tabs>
                <w:tab w:val="left" w:pos="800"/>
              </w:tabs>
              <w:autoSpaceDE/>
              <w:snapToGrid w:val="0"/>
              <w:spacing w:beforeLines="50" w:before="156" w:afterLines="50" w:after="156"/>
              <w:jc w:val="both"/>
              <w:rPr>
                <w:rFonts w:ascii="Times New Roman" w:hAnsi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</w:rPr>
              <w:t>对此药物的</w:t>
            </w: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  <w:lang w:val="zh-CN"/>
              </w:rPr>
              <w:t>分子药理学进行进一步特性研究，以将其作为心脏保护剂和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zh-CN"/>
              </w:rPr>
              <w:t>/</w:t>
            </w: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  <w:lang w:val="zh-CN"/>
              </w:rPr>
              <w:t>或心脏修复剂进行临床应用。</w:t>
            </w:r>
          </w:p>
          <w:p w14:paraId="30C2D20D" w14:textId="77777777" w:rsidR="00F9486D" w:rsidRDefault="00F9486D" w:rsidP="0097719D">
            <w:pPr>
              <w:shd w:val="clear" w:color="auto" w:fill="FFFFFF"/>
              <w:tabs>
                <w:tab w:val="left" w:pos="800"/>
              </w:tabs>
              <w:autoSpaceDE/>
              <w:snapToGrid w:val="0"/>
              <w:spacing w:beforeLines="50" w:before="156" w:afterLines="50" w:after="156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  <w:lang w:val="zh-CN"/>
              </w:rPr>
              <w:t>商业建议：</w:t>
            </w:r>
            <w:bookmarkStart w:id="0" w:name="OLE_LINK39"/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  <w:lang w:val="zh-CN"/>
              </w:rPr>
              <w:t>寻求建立合作关系，项目进行对外许可和联合开发。</w:t>
            </w:r>
            <w:bookmarkEnd w:id="0"/>
          </w:p>
        </w:tc>
      </w:tr>
      <w:tr w:rsidR="00F9486D" w14:paraId="4AFC8738" w14:textId="77777777" w:rsidTr="0097719D">
        <w:tc>
          <w:tcPr>
            <w:tcW w:w="5000" w:type="pct"/>
            <w:tcBorders>
              <w:top w:val="nil"/>
              <w:left w:val="nil"/>
              <w:bottom w:val="single" w:sz="12" w:space="0" w:color="24A0D9"/>
              <w:right w:val="nil"/>
            </w:tcBorders>
            <w:shd w:val="clear" w:color="auto" w:fill="FFFFFF"/>
            <w:hideMark/>
          </w:tcPr>
          <w:p w14:paraId="69F73015" w14:textId="77777777" w:rsidR="00F9486D" w:rsidRDefault="00F9486D" w:rsidP="0097719D">
            <w:pPr>
              <w:shd w:val="clear" w:color="auto" w:fill="FFFFFF"/>
              <w:tabs>
                <w:tab w:val="left" w:pos="800"/>
              </w:tabs>
              <w:autoSpaceDE/>
              <w:snapToGrid w:val="0"/>
              <w:spacing w:beforeLines="50" w:before="156" w:afterLines="50" w:after="15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  <w:lang w:val="zh-CN"/>
              </w:rPr>
              <w:t>说明</w:t>
            </w:r>
          </w:p>
        </w:tc>
      </w:tr>
      <w:tr w:rsidR="00F9486D" w14:paraId="567FA6BD" w14:textId="77777777" w:rsidTr="0097719D">
        <w:tc>
          <w:tcPr>
            <w:tcW w:w="5000" w:type="pct"/>
            <w:tcBorders>
              <w:top w:val="single" w:sz="12" w:space="0" w:color="24A0D9"/>
              <w:left w:val="nil"/>
              <w:bottom w:val="nil"/>
              <w:right w:val="nil"/>
            </w:tcBorders>
            <w:shd w:val="clear" w:color="auto" w:fill="FFFFFF"/>
          </w:tcPr>
          <w:p w14:paraId="54DC5745" w14:textId="77777777" w:rsidR="00F9486D" w:rsidRDefault="00F9486D" w:rsidP="0097719D">
            <w:pPr>
              <w:shd w:val="clear" w:color="auto" w:fill="FFFFFF"/>
              <w:tabs>
                <w:tab w:val="left" w:pos="800"/>
              </w:tabs>
              <w:autoSpaceDE/>
              <w:snapToGrid w:val="0"/>
              <w:spacing w:beforeLines="50" w:before="156" w:afterLines="50" w:after="156"/>
              <w:jc w:val="both"/>
              <w:rPr>
                <w:rFonts w:ascii="Times New Roman" w:hAnsi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CIGB-500</w:t>
            </w: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  <w:lang w:val="zh-CN"/>
              </w:rPr>
              <w:t>是安全性很好的六合氨基酸肽。它是合成多肽的异类组，在下丘脑和脑垂体的特定的</w:t>
            </w:r>
            <w:r>
              <w:rPr>
                <w:rFonts w:ascii="Times New Roman" w:hAnsi="宋体" w:cs="Times New Roman"/>
                <w:color w:val="000000"/>
                <w:sz w:val="24"/>
                <w:szCs w:val="24"/>
                <w:lang w:val="zh-CN"/>
              </w:rPr>
              <w:t>G</w:t>
            </w: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  <w:lang w:val="zh-CN"/>
              </w:rPr>
              <w:t>蛋白耦合受体上，合成多肽具有强有力的促生长激素分泌作用。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CIGB 500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和其他同源介质激起的药理作用可激活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蛋白偶联受体和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CD-36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。</w:t>
            </w:r>
          </w:p>
          <w:p w14:paraId="240CC96F" w14:textId="77777777" w:rsidR="00F9486D" w:rsidRDefault="00F9486D" w:rsidP="0097719D">
            <w:pPr>
              <w:shd w:val="clear" w:color="auto" w:fill="FFFFFF"/>
              <w:tabs>
                <w:tab w:val="left" w:pos="800"/>
              </w:tabs>
              <w:autoSpaceDE/>
              <w:snapToGrid w:val="0"/>
              <w:spacing w:beforeLines="50" w:before="156" w:afterLines="50" w:after="156"/>
              <w:jc w:val="both"/>
              <w:rPr>
                <w:rFonts w:ascii="Times New Roman" w:hAnsi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  <w:lang w:val="zh-CN"/>
              </w:rPr>
              <w:t>本组人员进行的不同实验表明，单次预处理或多次进行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zh-CN"/>
              </w:rPr>
              <w:t>CIGB-500</w:t>
            </w: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  <w:lang w:val="zh-CN"/>
              </w:rPr>
              <w:t>给药可增强细胞保护，避免一个或多个器官死亡。在肝局部缺血研究中，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zh-CN"/>
              </w:rPr>
              <w:t>CIGB-500</w:t>
            </w: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  <w:lang w:val="zh-CN"/>
              </w:rPr>
              <w:t>能防止肝细胞死亡，并将安慰剂非大面积坏死模式转化为肝细胞的个体模式，在猪急性心肌梗死模型中，与未经处理的猪相比，细胞坏死率降低了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zh-CN"/>
              </w:rPr>
              <w:t>70%</w:t>
            </w: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  <w:lang w:val="zh-CN"/>
              </w:rPr>
              <w:t>以上。在进一步的心肌病研究模型中，与多柔比星同时用药时，</w:t>
            </w:r>
            <w:r>
              <w:rPr>
                <w:rFonts w:ascii="Times New Roman" w:hAnsi="宋体" w:cs="Times New Roman"/>
                <w:color w:val="000000"/>
                <w:sz w:val="24"/>
                <w:szCs w:val="24"/>
                <w:lang w:val="zh-CN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zh-CN"/>
              </w:rPr>
              <w:t>IGB-500</w:t>
            </w: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  <w:lang w:val="zh-CN"/>
              </w:rPr>
              <w:t>能防止心脏衰竭和其他有毒的全身并发症。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zh-CN"/>
              </w:rPr>
              <w:t>CIGB-500</w:t>
            </w: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  <w:lang w:val="zh-CN"/>
              </w:rPr>
              <w:t>在治疗给药剂量下可恢复心肌损害和衰竭。</w:t>
            </w:r>
          </w:p>
          <w:p w14:paraId="19987939" w14:textId="77777777" w:rsidR="00F9486D" w:rsidRDefault="00F9486D" w:rsidP="0097719D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</w:rPr>
              <w:t>为对其细胞保护作用进行概念上的验证，证明其是否可降低因多个器官衰竭引起的死亡，我们通过啮齿类动物模型进行了预防性给药和前处理两种试验。</w:t>
            </w:r>
          </w:p>
          <w:p w14:paraId="096F47A4" w14:textId="77777777" w:rsidR="00F9486D" w:rsidRDefault="00F9486D" w:rsidP="0097719D">
            <w:pPr>
              <w:shd w:val="clear" w:color="auto" w:fill="FFFFFF"/>
              <w:tabs>
                <w:tab w:val="left" w:pos="800"/>
              </w:tabs>
              <w:autoSpaceDE/>
              <w:snapToGrid w:val="0"/>
              <w:spacing w:beforeLines="50" w:before="156" w:afterLines="50" w:after="156"/>
              <w:jc w:val="center"/>
              <w:rPr>
                <w:rFonts w:ascii="Times New Roman" w:hAnsi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50B32CF" wp14:editId="19A8EF7E">
                  <wp:extent cx="2889250" cy="1885950"/>
                  <wp:effectExtent l="0" t="0" r="6350" b="0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2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1C2072" w14:textId="77777777" w:rsidR="00F9486D" w:rsidRDefault="00F9486D" w:rsidP="0097719D">
            <w:pPr>
              <w:shd w:val="clear" w:color="auto" w:fill="FFFFFF"/>
              <w:tabs>
                <w:tab w:val="left" w:pos="800"/>
              </w:tabs>
              <w:autoSpaceDE/>
              <w:snapToGrid w:val="0"/>
              <w:spacing w:beforeLines="50" w:before="156" w:afterLines="50" w:after="156"/>
              <w:jc w:val="both"/>
              <w:rPr>
                <w:rFonts w:ascii="Times New Roman" w:hAnsi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</w:rPr>
              <w:t>图</w:t>
            </w:r>
            <w:r>
              <w:rPr>
                <w:rFonts w:ascii="Times New Roman" w:hAns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Calibri,Italic" w:hAnsi="Calibri,Italic" w:cs="Calibri,Italic"/>
                <w:i/>
                <w:iCs/>
              </w:rPr>
              <w:t>Kaplan-Meier</w:t>
            </w:r>
            <w:r>
              <w:rPr>
                <w:rFonts w:ascii="Calibri,Italic" w:hAnsi="Calibri,Italic" w:cs="Calibri,Italic" w:hint="eastAsia"/>
                <w:i/>
                <w:iCs/>
              </w:rPr>
              <w:t>存活分析</w:t>
            </w:r>
          </w:p>
          <w:p w14:paraId="0B155BEE" w14:textId="77777777" w:rsidR="00F9486D" w:rsidRDefault="00F9486D" w:rsidP="0097719D">
            <w:pPr>
              <w:rPr>
                <w:rFonts w:ascii="Calibri,Bold" w:hAnsi="Calibri,Bold" w:cs="Calibri,Bold"/>
                <w:b/>
                <w:bCs/>
              </w:rPr>
            </w:pPr>
          </w:p>
          <w:p w14:paraId="4D747ADF" w14:textId="77777777" w:rsidR="00F9486D" w:rsidRDefault="00F9486D" w:rsidP="0097719D">
            <w:pPr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 xml:space="preserve">2. </w:t>
            </w: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</w:rPr>
              <w:t>在急性心梗的猪模型上，</w:t>
            </w:r>
            <w:r>
              <w:rPr>
                <w:rFonts w:ascii="Times New Roman" w:hAnsi="宋体" w:cs="Times New Roman"/>
                <w:color w:val="000000"/>
                <w:sz w:val="24"/>
                <w:szCs w:val="24"/>
              </w:rPr>
              <w:t>CIGB500</w:t>
            </w: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</w:rPr>
              <w:t>可降低因局部缺血</w:t>
            </w:r>
            <w:r>
              <w:rPr>
                <w:rFonts w:ascii="Times New Roman" w:hAnsi="宋体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</w:rPr>
              <w:t>再灌注引起的细胞坏死。</w:t>
            </w:r>
          </w:p>
          <w:p w14:paraId="089AACCF" w14:textId="77777777" w:rsidR="00F9486D" w:rsidRDefault="00F9486D" w:rsidP="0097719D">
            <w:pPr>
              <w:shd w:val="clear" w:color="auto" w:fill="FFFFFF"/>
              <w:tabs>
                <w:tab w:val="left" w:pos="800"/>
              </w:tabs>
              <w:autoSpaceDE/>
              <w:snapToGrid w:val="0"/>
              <w:spacing w:beforeLines="50" w:before="156" w:afterLines="50" w:after="156"/>
              <w:jc w:val="center"/>
              <w:rPr>
                <w:rFonts w:ascii="Times New Roman" w:hAnsi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 wp14:anchorId="00F86269" wp14:editId="53E3FB02">
                  <wp:extent cx="1441450" cy="1822450"/>
                  <wp:effectExtent l="0" t="0" r="6350" b="6350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0" cy="182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E434FA" w14:textId="77777777" w:rsidR="00F9486D" w:rsidRDefault="00F9486D" w:rsidP="0097719D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图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：注射生理盐水和接受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CIGB500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给药治疗的两组心脏宏观和微观图像。</w:t>
            </w:r>
          </w:p>
          <w:p w14:paraId="3DD12201" w14:textId="77777777" w:rsidR="00F9486D" w:rsidRDefault="00F9486D" w:rsidP="0097719D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1B124945" w14:textId="77777777" w:rsidR="00F9486D" w:rsidRDefault="00F9486D" w:rsidP="0097719D">
            <w:pPr>
              <w:shd w:val="clear" w:color="auto" w:fill="FFFFFF"/>
              <w:tabs>
                <w:tab w:val="left" w:pos="800"/>
              </w:tabs>
              <w:autoSpaceDE/>
              <w:snapToGrid w:val="0"/>
              <w:spacing w:beforeLines="50" w:before="156" w:afterLines="50" w:after="156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通过小鼠动物模型进行研究证明，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CIGB500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可预防或逆转多柔比星诱导的扩张型心肌病。</w:t>
            </w:r>
          </w:p>
          <w:p w14:paraId="2791ABCB" w14:textId="77777777" w:rsidR="00F9486D" w:rsidRDefault="00F9486D" w:rsidP="0097719D">
            <w:pPr>
              <w:shd w:val="clear" w:color="auto" w:fill="FFFFFF"/>
              <w:tabs>
                <w:tab w:val="left" w:pos="800"/>
              </w:tabs>
              <w:autoSpaceDE/>
              <w:snapToGrid w:val="0"/>
              <w:spacing w:beforeLines="50" w:before="156" w:afterLines="50" w:after="156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C2163A7" wp14:editId="57F8E07F">
                  <wp:extent cx="6115050" cy="4165600"/>
                  <wp:effectExtent l="0" t="0" r="0" b="6350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4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78486A" w14:textId="77777777" w:rsidR="00F9486D" w:rsidRDefault="00F9486D" w:rsidP="0097719D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CIGB500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的主要生物活性总结如下：</w:t>
            </w:r>
          </w:p>
          <w:p w14:paraId="137ED0CB" w14:textId="77777777" w:rsidR="00F9486D" w:rsidRDefault="00F9486D" w:rsidP="0097719D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1- 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影响肌肉收缩：通过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PLC/DAG/PKC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，由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Ca2+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升高产生的作用。通过钙离子通道激起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Ca2+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从对毒胡萝卜素敏感的细胞内释放。转化成积极的肌肉收缩，并不产生心率的变时性作用。</w:t>
            </w:r>
          </w:p>
          <w:p w14:paraId="031CBDC3" w14:textId="77777777" w:rsidR="00F9486D" w:rsidRDefault="00F9486D" w:rsidP="0097719D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抗纤维化：根据我们的数据，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CIGB500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可上调过氧化物酶体增殖物激活受体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 gamma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，转化生长因子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 beta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，结缔组织生长因子，并下调血小板源性生长因子。</w:t>
            </w:r>
          </w:p>
          <w:p w14:paraId="00A8964B" w14:textId="77777777" w:rsidR="00F9486D" w:rsidRDefault="00F9486D" w:rsidP="0097719D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抗炎：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NF.kB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表达并激活，紧接着发生下游促炎性串联。减少活性氧、中性内肽酶，激活超氧化物歧化酶表达和活性。</w:t>
            </w:r>
          </w:p>
          <w:p w14:paraId="5E9A746B" w14:textId="77777777" w:rsidR="00F9486D" w:rsidRDefault="00F9486D" w:rsidP="0097719D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保护细胞：涉及磷脂酰肌糖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激酶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蛋白激酶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B(PI-3K/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蛋白激酶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，蛋白激酶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通道，在缺氧诱导因子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 alpha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的诱导下，可保护细胞。</w:t>
            </w:r>
          </w:p>
          <w:p w14:paraId="66710E0C" w14:textId="77777777" w:rsidR="00F9486D" w:rsidRDefault="00F9486D" w:rsidP="0097719D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保护心脏：涉及多个生物作用，可增强心肌细胞的存活。并降低活性氧和中性内肽酶的细胞毒性，减少神经激素。</w:t>
            </w:r>
          </w:p>
          <w:p w14:paraId="1A34BFA6" w14:textId="77777777" w:rsidR="00F9486D" w:rsidRDefault="00F9486D" w:rsidP="0097719D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舒张血管：可降低内皮素活性，并上调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e-NOS</w:t>
            </w:r>
          </w:p>
          <w:p w14:paraId="74A8FC3F" w14:textId="77777777" w:rsidR="00F9486D" w:rsidRDefault="00F9486D" w:rsidP="0097719D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11E1FEE4" w14:textId="77777777" w:rsidR="00F9486D" w:rsidRDefault="00F9486D" w:rsidP="0097719D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CIGB500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在急性心梗方面的功效可总结如下：</w:t>
            </w:r>
          </w:p>
          <w:p w14:paraId="25FC2A00" w14:textId="77777777" w:rsidR="00F9486D" w:rsidRDefault="00F9486D" w:rsidP="0097719D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其可显著的降低由不同的靶点造成的病理生理损伤。</w:t>
            </w:r>
          </w:p>
          <w:p w14:paraId="55E40C2E" w14:textId="77777777" w:rsidR="00F9486D" w:rsidRDefault="00F9486D" w:rsidP="0097719D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1C95875" wp14:editId="24533EB2">
                  <wp:extent cx="6115050" cy="3937000"/>
                  <wp:effectExtent l="0" t="0" r="0" b="635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393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B413CF" w14:textId="77777777" w:rsidR="00F9486D" w:rsidRDefault="00F9486D" w:rsidP="0097719D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1F68B089" w14:textId="77777777" w:rsidR="00F9486D" w:rsidRDefault="00F9486D" w:rsidP="0097719D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0E49446D" w14:textId="77777777" w:rsidR="00F9486D" w:rsidRDefault="00F9486D" w:rsidP="0097719D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图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CIGB500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在健康的小鼠身上对新陈代谢的影响。</w:t>
            </w:r>
          </w:p>
          <w:p w14:paraId="2BD2B61B" w14:textId="77777777" w:rsidR="00F9486D" w:rsidRDefault="00F9486D" w:rsidP="0097719D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对健康的临床受试者进行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CIGB500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给药，进行研究的总结：</w:t>
            </w:r>
          </w:p>
          <w:p w14:paraId="4DA0FF9A" w14:textId="77777777" w:rsidR="00F9486D" w:rsidRDefault="00F9486D" w:rsidP="00F9486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CIGB500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很长时间以前就被证明是安全的。成功放大之后的规模也是安全的。</w:t>
            </w:r>
          </w:p>
          <w:p w14:paraId="347A8FF6" w14:textId="77777777" w:rsidR="00F9486D" w:rsidRDefault="00F9486D" w:rsidP="00F9486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共有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66.7%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的受试者出现了中等的不良反应（出汗和自动缓解的心动过缓症状）。</w:t>
            </w:r>
          </w:p>
          <w:p w14:paraId="5CF1A21D" w14:textId="77777777" w:rsidR="00F9486D" w:rsidRDefault="00F9486D" w:rsidP="00F9486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在二级缓慢相之后的快速生物分布相中，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CIGB500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出现了两相血浆浓度。药时曲线下面积的增加与剂量有关。</w:t>
            </w:r>
          </w:p>
          <w:p w14:paraId="3CE512E5" w14:textId="77777777" w:rsidR="00F9486D" w:rsidRDefault="00F9486D" w:rsidP="00F9486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CIGB500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的给药并不影响氧化还原体系的体内平衡，并可暂时刺激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GH / IGF-I / IGFBP3.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的释放。</w:t>
            </w:r>
          </w:p>
          <w:p w14:paraId="3B12A54C" w14:textId="77777777" w:rsidR="00F9486D" w:rsidRDefault="00F9486D" w:rsidP="0097719D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555C20BC" w14:textId="77777777" w:rsidR="00F9486D" w:rsidRDefault="00F9486D" w:rsidP="0097719D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中心目前正在进行通过急性心梗病人进行第一期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第二期临床试验。临床试验目的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）降低心梗的进一步发展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）降低急性心梗发病率，包括复发。（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）防止心室重构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）减少急性机械性心衰竭。</w:t>
            </w:r>
          </w:p>
          <w:p w14:paraId="4A60BB1E" w14:textId="77777777" w:rsidR="00F9486D" w:rsidRDefault="00F9486D" w:rsidP="0097719D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7BF73A2C" w14:textId="77777777" w:rsidR="00F9486D" w:rsidRDefault="00F9486D" w:rsidP="0097719D">
            <w:pPr>
              <w:shd w:val="clear" w:color="auto" w:fill="FFFFFF"/>
              <w:tabs>
                <w:tab w:val="left" w:pos="800"/>
              </w:tabs>
              <w:autoSpaceDE/>
              <w:snapToGrid w:val="0"/>
              <w:spacing w:beforeLines="50" w:before="156" w:afterLines="50" w:after="156"/>
              <w:jc w:val="both"/>
              <w:rPr>
                <w:rFonts w:ascii="Times New Roman" w:hAnsi="宋体" w:cs="Times New Roman"/>
                <w:color w:val="000000"/>
                <w:sz w:val="24"/>
                <w:szCs w:val="24"/>
              </w:rPr>
            </w:pPr>
          </w:p>
        </w:tc>
      </w:tr>
      <w:tr w:rsidR="00F9486D" w14:paraId="19E27577" w14:textId="77777777" w:rsidTr="0097719D">
        <w:tc>
          <w:tcPr>
            <w:tcW w:w="5000" w:type="pct"/>
            <w:tcBorders>
              <w:top w:val="nil"/>
              <w:left w:val="nil"/>
              <w:bottom w:val="single" w:sz="12" w:space="0" w:color="24A0D9"/>
              <w:right w:val="nil"/>
            </w:tcBorders>
            <w:shd w:val="clear" w:color="auto" w:fill="FFFFFF"/>
            <w:hideMark/>
          </w:tcPr>
          <w:p w14:paraId="7A2C8B21" w14:textId="77777777" w:rsidR="00F9486D" w:rsidRDefault="00F9486D" w:rsidP="0097719D">
            <w:pPr>
              <w:shd w:val="clear" w:color="auto" w:fill="FFFFFF"/>
              <w:tabs>
                <w:tab w:val="left" w:pos="800"/>
              </w:tabs>
              <w:autoSpaceDE/>
              <w:snapToGrid w:val="0"/>
              <w:spacing w:beforeLines="50" w:before="156" w:afterLines="50" w:after="15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  <w:lang w:val="zh-CN"/>
              </w:rPr>
              <w:lastRenderedPageBreak/>
              <w:t>专利状况</w:t>
            </w:r>
          </w:p>
        </w:tc>
      </w:tr>
      <w:tr w:rsidR="00F9486D" w14:paraId="026F160C" w14:textId="77777777" w:rsidTr="0097719D">
        <w:tc>
          <w:tcPr>
            <w:tcW w:w="5000" w:type="pct"/>
            <w:tcBorders>
              <w:top w:val="single" w:sz="12" w:space="0" w:color="24A0D9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FC10F1A" w14:textId="77777777" w:rsidR="00F9486D" w:rsidRDefault="00F9486D" w:rsidP="0097719D">
            <w:pPr>
              <w:shd w:val="clear" w:color="auto" w:fill="FFFFFF"/>
              <w:tabs>
                <w:tab w:val="left" w:pos="800"/>
              </w:tabs>
              <w:autoSpaceDE/>
              <w:snapToGrid w:val="0"/>
              <w:spacing w:beforeLines="50" w:before="156" w:afterLines="50" w:after="156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  <w:lang w:val="zh-CN"/>
              </w:rPr>
              <w:t>药物联合治疗因动脉灌溉缺陷引起的组织损伤。美国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7361638. 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欧洲</w:t>
            </w: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  <w:lang w:val="zh-CN"/>
              </w:rPr>
              <w:t>：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1 354 597 B1</w:t>
            </w:r>
          </w:p>
          <w:p w14:paraId="4C6D2D1D" w14:textId="77777777" w:rsidR="00F9486D" w:rsidRDefault="00F9486D" w:rsidP="0097719D">
            <w:pPr>
              <w:shd w:val="clear" w:color="auto" w:fill="FFFFFF"/>
              <w:tabs>
                <w:tab w:val="left" w:pos="800"/>
              </w:tabs>
              <w:autoSpaceDE/>
              <w:snapToGrid w:val="0"/>
              <w:spacing w:beforeLines="50" w:before="156" w:afterLines="50" w:after="156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 w:hint="eastAsia"/>
                <w:b/>
                <w:bCs/>
              </w:rPr>
              <w:t>发表的学术论文</w:t>
            </w:r>
          </w:p>
          <w:p w14:paraId="1368951E" w14:textId="77777777" w:rsidR="00F9486D" w:rsidRDefault="00F9486D" w:rsidP="0097719D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1. Cibrian D. et al. 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通过使用激素生长释放肽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-6 (GHRP-6) 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来预防多个器官的衰竭。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《临床科学》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(2006) 110, 563–573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。</w:t>
            </w:r>
          </w:p>
          <w:p w14:paraId="2E2D62BC" w14:textId="77777777" w:rsidR="00F9486D" w:rsidRDefault="00F9486D" w:rsidP="0097719D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2. Berlanga J. et al.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通过急性心梗模型使用激素生长释放肽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-6 (GHRP-6) 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来预防氧化的细胞毒性并降低心肌坏死，临床科学》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(2006) 110, 563–573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。</w:t>
            </w:r>
          </w:p>
          <w:p w14:paraId="1E31A10A" w14:textId="77777777" w:rsidR="00F9486D" w:rsidRDefault="00F9486D" w:rsidP="0097719D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3. Cibrian D. et al. 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激素生长释放肽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-6 (GHRP-6)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的心细胞心外细胞保护作用。</w:t>
            </w:r>
          </w:p>
          <w:p w14:paraId="70FBAED5" w14:textId="77777777" w:rsidR="00F9486D" w:rsidRDefault="00F9486D" w:rsidP="0097719D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4. VALIENTE, Juan, GARCÍA DEL BARCO, Diana, GUILLÉN, Gerardo, SANTANA, Héctor et al.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s-ES"/>
              </w:rPr>
              <w:t>Efecto cardiotropico del GHRP-6: caracterización mediante ecocardiografia in vivo. Biotecnol Apl, oct.-dic. 2013, vol.30, no.4, p.280-284. ISSN 1027-2852.</w:t>
            </w:r>
          </w:p>
        </w:tc>
      </w:tr>
    </w:tbl>
    <w:p w14:paraId="7AAD76CA" w14:textId="77777777" w:rsidR="004C73CB" w:rsidRDefault="004C73CB">
      <w:bookmarkStart w:id="1" w:name="_GoBack"/>
      <w:bookmarkEnd w:id="1"/>
    </w:p>
    <w:sectPr w:rsidR="004C73CB" w:rsidSect="00D534D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C705B"/>
    <w:multiLevelType w:val="hybridMultilevel"/>
    <w:tmpl w:val="A844EA6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6D"/>
    <w:rsid w:val="004C73CB"/>
    <w:rsid w:val="00D534DD"/>
    <w:rsid w:val="00F9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22E95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86D"/>
    <w:pPr>
      <w:widowControl w:val="0"/>
      <w:autoSpaceDE w:val="0"/>
      <w:autoSpaceDN w:val="0"/>
      <w:adjustRightInd w:val="0"/>
    </w:pPr>
    <w:rPr>
      <w:rFonts w:ascii="Arial" w:eastAsia="宋体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w4winMark">
    <w:name w:val="tw4winMark"/>
    <w:rsid w:val="00F9486D"/>
    <w:rPr>
      <w:rFonts w:ascii="Courier New" w:hAnsi="Courier New" w:cs="Courier New" w:hint="default"/>
      <w:vanish/>
      <w:webHidden w:val="0"/>
      <w:color w:val="800080"/>
      <w:vertAlign w:val="subscript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image" Target="media/image3.emf"/><Relationship Id="rId8" Type="http://schemas.openxmlformats.org/officeDocument/2006/relationships/image" Target="media/image4.e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302</Words>
  <Characters>1722</Characters>
  <Application>Microsoft Macintosh Word</Application>
  <DocSecurity>0</DocSecurity>
  <Lines>14</Lines>
  <Paragraphs>4</Paragraphs>
  <ScaleCrop>false</ScaleCrop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2016-11-09T08:00:00Z</dcterms:created>
  <dcterms:modified xsi:type="dcterms:W3CDTF">2016-11-09T08:00:00Z</dcterms:modified>
</cp:coreProperties>
</file>